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DDB1" w14:textId="77777777" w:rsidR="00095572" w:rsidRDefault="00095572" w:rsidP="00E24DD3">
      <w:pPr>
        <w:framePr w:w="3686" w:h="1223" w:hRule="exact" w:hSpace="142" w:wrap="around" w:vAnchor="page" w:hAnchor="page" w:x="7347" w:y="937" w:anchorLock="1"/>
        <w:ind w:left="142" w:right="136"/>
        <w:jc w:val="right"/>
        <w:rPr>
          <w:sz w:val="16"/>
          <w:szCs w:val="16"/>
        </w:rPr>
      </w:pPr>
      <w:r w:rsidRPr="00095572">
        <w:rPr>
          <w:sz w:val="16"/>
          <w:szCs w:val="16"/>
        </w:rPr>
        <w:t>BASG / AGES MEA</w:t>
      </w:r>
      <w:r w:rsidRPr="00095572">
        <w:rPr>
          <w:sz w:val="16"/>
          <w:szCs w:val="16"/>
        </w:rPr>
        <w:br/>
        <w:t>Institut Überwachung</w:t>
      </w:r>
    </w:p>
    <w:p w14:paraId="156518D6" w14:textId="0F2D5FB9" w:rsidR="00CC6735" w:rsidRPr="00095572" w:rsidRDefault="00CC6735" w:rsidP="00E24DD3">
      <w:pPr>
        <w:framePr w:w="3686" w:h="1223" w:hRule="exact" w:hSpace="142" w:wrap="around" w:vAnchor="page" w:hAnchor="page" w:x="7347" w:y="937" w:anchorLock="1"/>
        <w:ind w:left="142" w:right="136"/>
        <w:jc w:val="right"/>
        <w:rPr>
          <w:sz w:val="16"/>
          <w:szCs w:val="16"/>
        </w:rPr>
      </w:pPr>
      <w:r>
        <w:rPr>
          <w:sz w:val="16"/>
          <w:szCs w:val="16"/>
        </w:rPr>
        <w:t>Abteilung Klinische Prüfungen</w:t>
      </w:r>
    </w:p>
    <w:p w14:paraId="44288CE4" w14:textId="4FE9F120" w:rsidR="00095572" w:rsidRDefault="00095572" w:rsidP="00E24DD3">
      <w:pPr>
        <w:framePr w:w="3686" w:h="1223" w:hRule="exact" w:hSpace="142" w:wrap="around" w:vAnchor="page" w:hAnchor="page" w:x="7347" w:y="937" w:anchorLock="1"/>
        <w:overflowPunct w:val="0"/>
        <w:autoSpaceDE w:val="0"/>
        <w:autoSpaceDN w:val="0"/>
        <w:adjustRightInd w:val="0"/>
        <w:ind w:left="142" w:right="136"/>
        <w:jc w:val="right"/>
        <w:textAlignment w:val="baseline"/>
        <w:rPr>
          <w:sz w:val="16"/>
          <w:szCs w:val="16"/>
        </w:rPr>
      </w:pPr>
      <w:proofErr w:type="spellStart"/>
      <w:r w:rsidRPr="00095572">
        <w:rPr>
          <w:sz w:val="16"/>
          <w:szCs w:val="16"/>
        </w:rPr>
        <w:t>Traiseng</w:t>
      </w:r>
      <w:r w:rsidR="00CC6735">
        <w:rPr>
          <w:sz w:val="16"/>
          <w:szCs w:val="16"/>
        </w:rPr>
        <w:t>asse</w:t>
      </w:r>
      <w:proofErr w:type="spellEnd"/>
      <w:r w:rsidRPr="00095572">
        <w:rPr>
          <w:sz w:val="16"/>
          <w:szCs w:val="16"/>
        </w:rPr>
        <w:t xml:space="preserve"> 5, 1200 Wien, Österreich</w:t>
      </w:r>
    </w:p>
    <w:p w14:paraId="6AB5FEB4" w14:textId="7D985802" w:rsidR="00CC6735" w:rsidRPr="00095572" w:rsidRDefault="00CC6735" w:rsidP="00E24DD3">
      <w:pPr>
        <w:framePr w:w="3686" w:h="1223" w:hRule="exact" w:hSpace="142" w:wrap="around" w:vAnchor="page" w:hAnchor="page" w:x="7347" w:y="937" w:anchorLock="1"/>
        <w:ind w:left="708" w:right="136" w:firstLine="993"/>
        <w:jc w:val="center"/>
        <w:rPr>
          <w:sz w:val="16"/>
          <w:szCs w:val="16"/>
        </w:rPr>
      </w:pPr>
      <w:r w:rsidRPr="00B75F09">
        <w:rPr>
          <w:sz w:val="16"/>
          <w:szCs w:val="16"/>
        </w:rPr>
        <w:t xml:space="preserve">E-Mail: </w:t>
      </w:r>
      <w:hyperlink r:id="rId7" w:history="1">
        <w:r w:rsidRPr="00CC6735">
          <w:rPr>
            <w:rStyle w:val="Hyperlink"/>
            <w:sz w:val="16"/>
          </w:rPr>
          <w:t>Susar@basg.gv.at</w:t>
        </w:r>
      </w:hyperlink>
    </w:p>
    <w:p w14:paraId="62B1EC82" w14:textId="77777777" w:rsidR="001B6D22" w:rsidRPr="007537BC" w:rsidRDefault="001B6D22" w:rsidP="001B6D22">
      <w:pPr>
        <w:rPr>
          <w:rFonts w:cs="Tahoma"/>
          <w:szCs w:val="20"/>
        </w:rPr>
      </w:pPr>
    </w:p>
    <w:p w14:paraId="5ECB145C" w14:textId="77777777" w:rsidR="001B6D22" w:rsidRPr="007537BC" w:rsidRDefault="001B6D22" w:rsidP="001B6D22">
      <w:pPr>
        <w:rPr>
          <w:rFonts w:cs="Tahoma"/>
          <w:szCs w:val="20"/>
        </w:rPr>
      </w:pPr>
    </w:p>
    <w:p w14:paraId="2FD90529" w14:textId="77777777" w:rsidR="001B6D22" w:rsidRPr="007537BC" w:rsidRDefault="001B6D22" w:rsidP="001B6D22">
      <w:pPr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01"/>
      </w:tblGrid>
      <w:tr w:rsidR="00FF2965" w:rsidRPr="004869E7" w14:paraId="1E4018D1" w14:textId="77777777" w:rsidTr="00E24DD3">
        <w:tc>
          <w:tcPr>
            <w:tcW w:w="3369" w:type="dxa"/>
          </w:tcPr>
          <w:p w14:paraId="33A7B369" w14:textId="5727684B" w:rsidR="00FF2965" w:rsidRPr="00E24DD3" w:rsidRDefault="00FF2965" w:rsidP="00FF2965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E24DD3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  <w:t xml:space="preserve">Name und Anschrift des </w:t>
            </w:r>
            <w:r w:rsidR="004F4951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  <w:t>S</w:t>
            </w:r>
            <w:r w:rsidRPr="00E24DD3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  <w:t>p</w:t>
            </w:r>
            <w:r w:rsidR="003B7F54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  <w:t>on</w:t>
            </w:r>
            <w:r w:rsidRPr="00E24DD3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de-DE"/>
              </w:rPr>
              <w:t>sors:</w:t>
            </w:r>
          </w:p>
        </w:tc>
        <w:tc>
          <w:tcPr>
            <w:tcW w:w="6201" w:type="dxa"/>
          </w:tcPr>
          <w:p w14:paraId="439AA1DB" w14:textId="77777777" w:rsidR="00FF2965" w:rsidRPr="003A67BF" w:rsidRDefault="00FF2965" w:rsidP="00C116D7">
            <w:pPr>
              <w:pStyle w:val="parparagraph"/>
              <w:spacing w:before="0" w:beforeAutospacing="0" w:after="0" w:afterAutospacing="0"/>
              <w:rPr>
                <w:rFonts w:ascii="Tahoma" w:hAnsi="Tahoma" w:cs="Tahoma"/>
                <w:i/>
                <w:noProof/>
                <w:lang w:val="en-GB"/>
              </w:rPr>
            </w:pP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end"/>
            </w:r>
          </w:p>
        </w:tc>
      </w:tr>
      <w:tr w:rsidR="00FF2965" w:rsidRPr="00C00497" w14:paraId="730E8B6A" w14:textId="77777777" w:rsidTr="00E24DD3">
        <w:tc>
          <w:tcPr>
            <w:tcW w:w="3369" w:type="dxa"/>
          </w:tcPr>
          <w:p w14:paraId="1C04BDA1" w14:textId="77777777"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EudraCT</w:t>
            </w:r>
            <w:proofErr w:type="spellEnd"/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 xml:space="preserve"> Numm</w:t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er</w:t>
            </w:r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1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</w:tcPr>
          <w:p w14:paraId="7CEB89B3" w14:textId="77777777"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FF2965" w:rsidRPr="00C00497" w14:paraId="050E99F4" w14:textId="77777777" w:rsidTr="00E24DD3">
        <w:tc>
          <w:tcPr>
            <w:tcW w:w="3369" w:type="dxa"/>
          </w:tcPr>
          <w:p w14:paraId="10075739" w14:textId="77777777"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Gültig ab folgendem Datum</w:t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</w:tcPr>
          <w:p w14:paraId="04A9E6F9" w14:textId="77777777"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FF2965" w:rsidRPr="00C00497" w14:paraId="2E5B52F7" w14:textId="77777777" w:rsidTr="00E24DD3">
        <w:tc>
          <w:tcPr>
            <w:tcW w:w="3369" w:type="dxa"/>
          </w:tcPr>
          <w:p w14:paraId="1C34E1A9" w14:textId="77777777" w:rsidR="00FF2965" w:rsidRPr="00C00497" w:rsidRDefault="00FF2965" w:rsidP="00FF2965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Sonstiges</w:t>
            </w:r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01" w:type="dxa"/>
          </w:tcPr>
          <w:p w14:paraId="33C1D6D4" w14:textId="77777777"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</w:tbl>
    <w:p w14:paraId="008AA04E" w14:textId="77777777" w:rsidR="001B6D22" w:rsidRPr="007537BC" w:rsidRDefault="001B6D22" w:rsidP="001B6D22">
      <w:pPr>
        <w:rPr>
          <w:rFonts w:cs="Tahoma"/>
          <w:szCs w:val="20"/>
        </w:rPr>
      </w:pPr>
    </w:p>
    <w:p w14:paraId="61348A41" w14:textId="77777777" w:rsidR="001B6D22" w:rsidRDefault="001B6D22" w:rsidP="001B6D22">
      <w:pPr>
        <w:rPr>
          <w:rFonts w:cs="Tahoma"/>
          <w:szCs w:val="20"/>
        </w:rPr>
      </w:pPr>
    </w:p>
    <w:p w14:paraId="37A8C91D" w14:textId="77777777" w:rsidR="00E353FB" w:rsidRPr="007537BC" w:rsidRDefault="00E353FB" w:rsidP="001B6D22">
      <w:pPr>
        <w:rPr>
          <w:rFonts w:cs="Tahoma"/>
          <w:szCs w:val="20"/>
        </w:rPr>
      </w:pPr>
    </w:p>
    <w:p w14:paraId="6138393F" w14:textId="77777777" w:rsidR="001B6D22" w:rsidRPr="007537BC" w:rsidRDefault="001B6D22" w:rsidP="001B6D22">
      <w:pPr>
        <w:rPr>
          <w:rFonts w:cs="Tahoma"/>
          <w:szCs w:val="20"/>
        </w:rPr>
      </w:pPr>
    </w:p>
    <w:p w14:paraId="44F90C50" w14:textId="77777777" w:rsidR="00FF2965" w:rsidRPr="007537BC" w:rsidRDefault="00FF2965" w:rsidP="00FF2965">
      <w:pPr>
        <w:rPr>
          <w:rFonts w:cs="Tahoma"/>
          <w:b/>
          <w:szCs w:val="20"/>
        </w:rPr>
      </w:pPr>
      <w:r w:rsidRPr="007537BC">
        <w:rPr>
          <w:rFonts w:cs="Tahoma"/>
          <w:b/>
          <w:szCs w:val="20"/>
        </w:rPr>
        <w:t>Ansuchen um Befreiung von der Meldung</w:t>
      </w:r>
      <w:r>
        <w:rPr>
          <w:rFonts w:cs="Tahoma"/>
          <w:b/>
          <w:szCs w:val="20"/>
        </w:rPr>
        <w:t>s</w:t>
      </w:r>
      <w:r w:rsidRPr="007537BC">
        <w:rPr>
          <w:rFonts w:cs="Tahoma"/>
          <w:b/>
          <w:szCs w:val="20"/>
        </w:rPr>
        <w:t>verpflichtung über schwerwiegende Nebenwirkungen gemäß § 41e AMG an das Bundesamt für Sicherheit im Gesundheitswesen (BASG)</w:t>
      </w:r>
    </w:p>
    <w:p w14:paraId="215A3E85" w14:textId="77777777" w:rsidR="001B6D22" w:rsidRPr="007537BC" w:rsidRDefault="001B6D22" w:rsidP="001B6D22">
      <w:pPr>
        <w:rPr>
          <w:rFonts w:cs="Tahoma"/>
          <w:b/>
          <w:szCs w:val="20"/>
        </w:rPr>
      </w:pPr>
    </w:p>
    <w:p w14:paraId="1E1D258C" w14:textId="77777777" w:rsidR="001B6D22" w:rsidRPr="007537BC" w:rsidRDefault="001B6D22" w:rsidP="001B6D22">
      <w:pPr>
        <w:rPr>
          <w:rFonts w:cs="Tahoma"/>
          <w:szCs w:val="20"/>
        </w:rPr>
      </w:pPr>
    </w:p>
    <w:p w14:paraId="5F362C4C" w14:textId="0F10250C"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Es wird hiermit bestätigt, dass alle </w:t>
      </w:r>
      <w:r w:rsidR="000F42A8">
        <w:rPr>
          <w:rStyle w:val="ds2"/>
          <w:rFonts w:ascii="Tahoma" w:hAnsi="Tahoma" w:cs="Tahoma"/>
          <w:color w:val="000000"/>
          <w:sz w:val="20"/>
          <w:szCs w:val="20"/>
        </w:rPr>
        <w:t>SUSAR (</w:t>
      </w:r>
      <w:proofErr w:type="spellStart"/>
      <w:r w:rsidR="000F42A8" w:rsidRPr="007537BC">
        <w:rPr>
          <w:rFonts w:ascii="Tahoma" w:hAnsi="Tahoma" w:cs="Tahoma"/>
          <w:sz w:val="20"/>
          <w:szCs w:val="20"/>
        </w:rPr>
        <w:t>Suspected</w:t>
      </w:r>
      <w:proofErr w:type="spellEnd"/>
      <w:r w:rsidR="000F42A8" w:rsidRPr="007537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42A8" w:rsidRPr="007537BC">
        <w:rPr>
          <w:rFonts w:ascii="Tahoma" w:hAnsi="Tahoma" w:cs="Tahoma"/>
          <w:sz w:val="20"/>
          <w:szCs w:val="20"/>
        </w:rPr>
        <w:t>Unexpe</w:t>
      </w:r>
      <w:r w:rsidR="000F42A8">
        <w:rPr>
          <w:rFonts w:ascii="Tahoma" w:hAnsi="Tahoma" w:cs="Tahoma"/>
          <w:sz w:val="20"/>
          <w:szCs w:val="20"/>
        </w:rPr>
        <w:t>cted</w:t>
      </w:r>
      <w:proofErr w:type="spellEnd"/>
      <w:r w:rsidR="000F42A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42A8">
        <w:rPr>
          <w:rFonts w:ascii="Tahoma" w:hAnsi="Tahoma" w:cs="Tahoma"/>
          <w:sz w:val="20"/>
          <w:szCs w:val="20"/>
        </w:rPr>
        <w:t>Serious</w:t>
      </w:r>
      <w:proofErr w:type="spellEnd"/>
      <w:r w:rsidR="000F42A8">
        <w:rPr>
          <w:rFonts w:ascii="Tahoma" w:hAnsi="Tahoma" w:cs="Tahoma"/>
          <w:sz w:val="20"/>
          <w:szCs w:val="20"/>
        </w:rPr>
        <w:t xml:space="preserve"> Adverse </w:t>
      </w:r>
      <w:proofErr w:type="spellStart"/>
      <w:r w:rsidR="000F42A8">
        <w:rPr>
          <w:rFonts w:ascii="Tahoma" w:hAnsi="Tahoma" w:cs="Tahoma"/>
          <w:sz w:val="20"/>
          <w:szCs w:val="20"/>
        </w:rPr>
        <w:t>Reaction</w:t>
      </w:r>
      <w:proofErr w:type="spellEnd"/>
      <w:r w:rsidR="000F42A8">
        <w:rPr>
          <w:rStyle w:val="ds2"/>
          <w:rFonts w:ascii="Tahoma" w:hAnsi="Tahoma" w:cs="Tahoma"/>
          <w:color w:val="000000"/>
          <w:sz w:val="20"/>
          <w:szCs w:val="20"/>
        </w:rPr>
        <w:t>)</w:t>
      </w:r>
      <w:r w:rsidR="000F42A8"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Meldungen gemäß § 41 Arzneimittelgesetz, BGBl. Nr. 185/1983, </w:t>
      </w:r>
      <w:r w:rsidR="00C40FD8" w:rsidRPr="00C40FD8">
        <w:rPr>
          <w:rStyle w:val="ds2"/>
          <w:rFonts w:ascii="Tahoma" w:hAnsi="Tahoma" w:cs="Tahoma"/>
          <w:color w:val="000000"/>
          <w:sz w:val="20"/>
          <w:szCs w:val="20"/>
        </w:rPr>
        <w:t>in der Fassung vor dem Inkrafttreten der Novelle BGBl. I Nr. 8/2022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, direkt an die </w:t>
      </w:r>
      <w:proofErr w:type="spellStart"/>
      <w:r w:rsidR="00A24BBE">
        <w:rPr>
          <w:rStyle w:val="ds2"/>
          <w:rFonts w:ascii="Tahoma" w:hAnsi="Tahoma" w:cs="Tahoma"/>
          <w:color w:val="000000"/>
          <w:sz w:val="20"/>
          <w:szCs w:val="20"/>
        </w:rPr>
        <w:t>EudraVigilance</w:t>
      </w:r>
      <w:proofErr w:type="spellEnd"/>
      <w:r w:rsidR="00A24BBE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Pr="007537BC">
        <w:rPr>
          <w:rFonts w:ascii="Tahoma" w:hAnsi="Tahoma" w:cs="Tahoma"/>
          <w:sz w:val="20"/>
          <w:szCs w:val="20"/>
        </w:rPr>
        <w:t xml:space="preserve">Datenbank der Europäische Arzneimittelagentur (EMA) in </w:t>
      </w:r>
      <w:r w:rsidR="000F42A8">
        <w:rPr>
          <w:rFonts w:ascii="Tahoma" w:hAnsi="Tahoma" w:cs="Tahoma"/>
          <w:sz w:val="20"/>
          <w:szCs w:val="20"/>
        </w:rPr>
        <w:t xml:space="preserve">ICH </w:t>
      </w:r>
      <w:r w:rsidRPr="007537BC">
        <w:rPr>
          <w:rFonts w:ascii="Tahoma" w:hAnsi="Tahoma" w:cs="Tahoma"/>
          <w:sz w:val="20"/>
          <w:szCs w:val="20"/>
        </w:rPr>
        <w:t>E2B</w:t>
      </w:r>
      <w:r w:rsidR="000F42A8">
        <w:rPr>
          <w:rFonts w:ascii="Tahoma" w:hAnsi="Tahoma" w:cs="Tahoma"/>
          <w:sz w:val="20"/>
          <w:szCs w:val="20"/>
        </w:rPr>
        <w:t xml:space="preserve"> (R</w:t>
      </w:r>
      <w:proofErr w:type="gramStart"/>
      <w:r w:rsidR="000F42A8">
        <w:rPr>
          <w:rFonts w:ascii="Tahoma" w:hAnsi="Tahoma" w:cs="Tahoma"/>
          <w:sz w:val="20"/>
          <w:szCs w:val="20"/>
        </w:rPr>
        <w:t>3)</w:t>
      </w:r>
      <w:r w:rsidRPr="007537BC">
        <w:rPr>
          <w:rFonts w:ascii="Tahoma" w:hAnsi="Tahoma" w:cs="Tahoma"/>
          <w:sz w:val="20"/>
          <w:szCs w:val="20"/>
        </w:rPr>
        <w:t>-</w:t>
      </w:r>
      <w:proofErr w:type="gramEnd"/>
      <w:r w:rsidRPr="007537BC">
        <w:rPr>
          <w:rFonts w:ascii="Tahoma" w:hAnsi="Tahoma" w:cs="Tahoma"/>
          <w:sz w:val="20"/>
          <w:szCs w:val="20"/>
        </w:rPr>
        <w:t>Format innerhalb des gesetzlich vorgegebenen Zeitrahmens (7/15 Tage) übermittelt werden.</w:t>
      </w:r>
    </w:p>
    <w:p w14:paraId="3C4E418B" w14:textId="77777777" w:rsidR="001B6D22" w:rsidRPr="007537BC" w:rsidRDefault="001B6D22" w:rsidP="001B6D22">
      <w:pPr>
        <w:rPr>
          <w:rFonts w:cs="Tahoma"/>
          <w:szCs w:val="20"/>
        </w:rPr>
      </w:pPr>
    </w:p>
    <w:p w14:paraId="2135347C" w14:textId="7969F46E" w:rsidR="001B6D22" w:rsidRPr="007537BC" w:rsidRDefault="001B6D22" w:rsidP="001B6D22">
      <w:pPr>
        <w:rPr>
          <w:rFonts w:cs="Tahoma"/>
          <w:szCs w:val="20"/>
        </w:rPr>
      </w:pPr>
      <w:r w:rsidRPr="007537BC">
        <w:rPr>
          <w:rFonts w:cs="Tahoma"/>
          <w:szCs w:val="20"/>
        </w:rPr>
        <w:t>Diese Form der Meldung ist den gesetzlichen Verpflichtungen gemäß § 41 AMG zur Verständigung des BASG gleichzuhalten.</w:t>
      </w:r>
    </w:p>
    <w:p w14:paraId="112B3B5D" w14:textId="77777777" w:rsidR="001B6D22" w:rsidRPr="007537BC" w:rsidRDefault="001B6D22" w:rsidP="001B6D22">
      <w:pPr>
        <w:rPr>
          <w:rFonts w:cs="Tahoma"/>
          <w:szCs w:val="20"/>
        </w:rPr>
      </w:pPr>
    </w:p>
    <w:p w14:paraId="429108BF" w14:textId="77777777" w:rsidR="001B6D22" w:rsidRPr="007537BC" w:rsidRDefault="001B6D22" w:rsidP="001B6D22">
      <w:pPr>
        <w:rPr>
          <w:rFonts w:cs="Tahoma"/>
          <w:szCs w:val="20"/>
        </w:rPr>
      </w:pPr>
      <w:r w:rsidRPr="007537BC">
        <w:rPr>
          <w:rFonts w:cs="Tahoma"/>
          <w:szCs w:val="20"/>
        </w:rPr>
        <w:t>Die Mel</w:t>
      </w:r>
      <w:r w:rsidR="00FF2965">
        <w:rPr>
          <w:rFonts w:cs="Tahoma"/>
          <w:szCs w:val="20"/>
        </w:rPr>
        <w:t>deverpflichtungen betreffend die</w:t>
      </w:r>
      <w:r w:rsidRPr="007537BC">
        <w:rPr>
          <w:rFonts w:cs="Tahoma"/>
          <w:szCs w:val="20"/>
        </w:rPr>
        <w:t xml:space="preserve"> Ethikkommissionen und der anderen zuständigen Behörden des Europäischen Wirtschaftsraumes bleib</w:t>
      </w:r>
      <w:r w:rsidR="007129E5">
        <w:rPr>
          <w:rFonts w:cs="Tahoma"/>
          <w:szCs w:val="20"/>
        </w:rPr>
        <w:t>en</w:t>
      </w:r>
      <w:r w:rsidRPr="007537BC">
        <w:rPr>
          <w:rFonts w:cs="Tahoma"/>
          <w:szCs w:val="20"/>
        </w:rPr>
        <w:t xml:space="preserve"> davon unberührt.</w:t>
      </w:r>
    </w:p>
    <w:p w14:paraId="5109566F" w14:textId="77777777"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de-DE"/>
        </w:rPr>
      </w:pPr>
    </w:p>
    <w:p w14:paraId="6E45D25D" w14:textId="5D0AB0A9" w:rsidR="001B6D22" w:rsidRPr="00F63A98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Im Falle technischer Probleme </w:t>
      </w:r>
      <w:r w:rsidR="0074159A">
        <w:rPr>
          <w:rStyle w:val="ds2"/>
          <w:rFonts w:ascii="Tahoma" w:hAnsi="Tahoma" w:cs="Tahoma"/>
          <w:color w:val="000000"/>
          <w:sz w:val="20"/>
          <w:szCs w:val="20"/>
        </w:rPr>
        <w:t xml:space="preserve">bei der Übermittlung der E2B-Meldung an die </w:t>
      </w:r>
      <w:proofErr w:type="spellStart"/>
      <w:r w:rsidR="0074159A">
        <w:rPr>
          <w:rStyle w:val="ds2"/>
          <w:rFonts w:ascii="Tahoma" w:hAnsi="Tahoma" w:cs="Tahoma"/>
          <w:color w:val="000000"/>
          <w:sz w:val="20"/>
          <w:szCs w:val="20"/>
        </w:rPr>
        <w:t>EudraVigilance</w:t>
      </w:r>
      <w:proofErr w:type="spellEnd"/>
      <w:r w:rsidR="0074159A">
        <w:rPr>
          <w:rStyle w:val="ds2"/>
          <w:rFonts w:ascii="Tahoma" w:hAnsi="Tahoma" w:cs="Tahoma"/>
          <w:color w:val="000000"/>
          <w:sz w:val="20"/>
          <w:szCs w:val="20"/>
        </w:rPr>
        <w:t xml:space="preserve"> Datenbank, </w:t>
      </w:r>
      <w:r w:rsidR="00A24BBE">
        <w:rPr>
          <w:rStyle w:val="ds2"/>
          <w:rFonts w:ascii="Tahoma" w:hAnsi="Tahoma" w:cs="Tahoma"/>
          <w:color w:val="000000"/>
          <w:sz w:val="20"/>
          <w:szCs w:val="20"/>
        </w:rPr>
        <w:t>sind</w:t>
      </w:r>
      <w:r w:rsidR="00A24BBE"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SUSAR Meldungen </w:t>
      </w:r>
      <w:r w:rsidR="00A24BBE" w:rsidRPr="00F63A98">
        <w:rPr>
          <w:rStyle w:val="ds2"/>
          <w:rFonts w:ascii="Tahoma" w:hAnsi="Tahoma" w:cs="Tahoma"/>
          <w:color w:val="000000"/>
          <w:sz w:val="20"/>
          <w:szCs w:val="20"/>
        </w:rPr>
        <w:t>entsprechend de</w:t>
      </w:r>
      <w:r w:rsidR="00A24BBE">
        <w:rPr>
          <w:rStyle w:val="ds2"/>
          <w:rFonts w:ascii="Tahoma" w:hAnsi="Tahoma" w:cs="Tahoma"/>
          <w:color w:val="000000"/>
          <w:sz w:val="20"/>
          <w:szCs w:val="20"/>
        </w:rPr>
        <w:t>r</w:t>
      </w:r>
      <w:r w:rsidR="00A24BBE" w:rsidRPr="00F63A98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="00A24BBE">
        <w:rPr>
          <w:rStyle w:val="ds2"/>
          <w:rFonts w:ascii="Tahoma" w:hAnsi="Tahoma" w:cs="Tahoma"/>
          <w:color w:val="000000"/>
          <w:sz w:val="20"/>
          <w:szCs w:val="20"/>
        </w:rPr>
        <w:t xml:space="preserve">jeweiligen </w:t>
      </w:r>
      <w:r w:rsidR="00A24BBE" w:rsidRPr="00F63A98">
        <w:rPr>
          <w:rStyle w:val="ds2"/>
          <w:rFonts w:ascii="Tahoma" w:hAnsi="Tahoma" w:cs="Tahoma"/>
          <w:color w:val="000000"/>
          <w:sz w:val="20"/>
          <w:szCs w:val="20"/>
        </w:rPr>
        <w:t>Vorgaben</w:t>
      </w:r>
      <w:r w:rsidR="0074159A">
        <w:rPr>
          <w:rStyle w:val="ds2"/>
          <w:rFonts w:ascii="Tahoma" w:hAnsi="Tahoma" w:cs="Tahoma"/>
          <w:color w:val="000000"/>
          <w:sz w:val="20"/>
          <w:szCs w:val="20"/>
        </w:rPr>
        <w:t xml:space="preserve"> von</w:t>
      </w:r>
      <w:r w:rsidR="00A24BBE" w:rsidRPr="00F63A98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74159A" w:rsidRPr="005E6EFD">
          <w:rPr>
            <w:rStyle w:val="Hyperlink"/>
            <w:rFonts w:ascii="Tahoma" w:hAnsi="Tahoma" w:cs="Tahoma"/>
            <w:sz w:val="20"/>
            <w:szCs w:val="20"/>
            <w:lang w:val="de-DE"/>
          </w:rPr>
          <w:t>EMA</w:t>
        </w:r>
      </w:hyperlink>
      <w:r w:rsidR="0074159A" w:rsidRPr="005E6EFD">
        <w:rPr>
          <w:rStyle w:val="ds2"/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="0074159A">
        <w:rPr>
          <w:rStyle w:val="ds2"/>
          <w:rFonts w:ascii="Tahoma" w:hAnsi="Tahoma" w:cs="Tahoma"/>
          <w:color w:val="000000"/>
          <w:sz w:val="20"/>
          <w:szCs w:val="20"/>
          <w:lang w:val="de-DE"/>
        </w:rPr>
        <w:t>und</w:t>
      </w:r>
      <w:r w:rsidR="0074159A" w:rsidRPr="005E6EFD">
        <w:rPr>
          <w:rStyle w:val="ds2"/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hyperlink r:id="rId9" w:history="1">
        <w:hyperlink r:id="rId10" w:history="1">
          <w:r w:rsidR="0074159A" w:rsidRPr="005E6EFD">
            <w:rPr>
              <w:rStyle w:val="Hyperlink"/>
              <w:rFonts w:ascii="Tahoma" w:hAnsi="Tahoma" w:cs="Tahoma"/>
              <w:sz w:val="20"/>
              <w:szCs w:val="20"/>
              <w:lang w:val="de-DE"/>
            </w:rPr>
            <w:t>BASG</w:t>
          </w:r>
        </w:hyperlink>
      </w:hyperlink>
      <w:r w:rsidR="0074159A" w:rsidRPr="00E24DD3">
        <w:rPr>
          <w:rStyle w:val="ds2"/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Pr="00F63A98">
        <w:rPr>
          <w:rStyle w:val="ds2"/>
          <w:rFonts w:ascii="Tahoma" w:hAnsi="Tahoma" w:cs="Tahoma"/>
          <w:color w:val="000000"/>
          <w:sz w:val="20"/>
          <w:szCs w:val="20"/>
        </w:rPr>
        <w:t xml:space="preserve">auf alternative Weise </w:t>
      </w:r>
      <w:r w:rsidR="00B44D8A">
        <w:rPr>
          <w:rStyle w:val="ds2"/>
          <w:rFonts w:ascii="Tahoma" w:hAnsi="Tahoma" w:cs="Tahoma"/>
          <w:color w:val="000000"/>
          <w:sz w:val="20"/>
          <w:szCs w:val="20"/>
        </w:rPr>
        <w:t xml:space="preserve">zu </w:t>
      </w:r>
      <w:r w:rsidRPr="00F63A98">
        <w:rPr>
          <w:rStyle w:val="ds2"/>
          <w:rFonts w:ascii="Tahoma" w:hAnsi="Tahoma" w:cs="Tahoma"/>
          <w:color w:val="000000"/>
          <w:sz w:val="20"/>
          <w:szCs w:val="20"/>
        </w:rPr>
        <w:t>übermittel</w:t>
      </w:r>
      <w:r w:rsidR="00B44D8A">
        <w:rPr>
          <w:rStyle w:val="ds2"/>
          <w:rFonts w:ascii="Tahoma" w:hAnsi="Tahoma" w:cs="Tahoma"/>
          <w:color w:val="000000"/>
          <w:sz w:val="20"/>
          <w:szCs w:val="20"/>
        </w:rPr>
        <w:t>n.</w:t>
      </w:r>
    </w:p>
    <w:p w14:paraId="07A42529" w14:textId="77777777"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</w:p>
    <w:p w14:paraId="3F32549C" w14:textId="7E2825EC"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In diesem Zusammenhang wird von Seiten des </w:t>
      </w:r>
      <w:r w:rsidR="00B96D83">
        <w:rPr>
          <w:rStyle w:val="ds2"/>
          <w:rFonts w:ascii="Tahoma" w:hAnsi="Tahoma" w:cs="Tahoma"/>
          <w:color w:val="000000"/>
          <w:sz w:val="20"/>
          <w:szCs w:val="20"/>
        </w:rPr>
        <w:t>BASG</w:t>
      </w:r>
      <w:r w:rsidR="00B96D83"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noch auf folgende Punkte hingewiesen:</w:t>
      </w:r>
    </w:p>
    <w:p w14:paraId="08E4BFCA" w14:textId="77777777"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</w:p>
    <w:p w14:paraId="4A9E5710" w14:textId="7494C872" w:rsidR="001B6D22" w:rsidRPr="007537BC" w:rsidRDefault="001B6D22" w:rsidP="001B6D22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Das BASG übermittelt keine Empfangsbestätigungen für elektronische SUSARs. Diese werden von der EMA übermittelt, da die elektronische Meldung direkt an die </w:t>
      </w:r>
      <w:proofErr w:type="spellStart"/>
      <w:r w:rsidR="00B96D83">
        <w:rPr>
          <w:rStyle w:val="ds2"/>
          <w:rFonts w:ascii="Tahoma" w:hAnsi="Tahoma" w:cs="Tahoma"/>
          <w:color w:val="000000"/>
          <w:sz w:val="20"/>
          <w:szCs w:val="20"/>
        </w:rPr>
        <w:t>Eudra</w:t>
      </w:r>
      <w:r w:rsidR="002B1FC5">
        <w:rPr>
          <w:rStyle w:val="ds2"/>
          <w:rFonts w:ascii="Tahoma" w:hAnsi="Tahoma" w:cs="Tahoma"/>
          <w:color w:val="000000"/>
          <w:sz w:val="20"/>
          <w:szCs w:val="20"/>
        </w:rPr>
        <w:t>V</w:t>
      </w:r>
      <w:r w:rsidR="00B96D83">
        <w:rPr>
          <w:rStyle w:val="ds2"/>
          <w:rFonts w:ascii="Tahoma" w:hAnsi="Tahoma" w:cs="Tahoma"/>
          <w:color w:val="000000"/>
          <w:sz w:val="20"/>
          <w:szCs w:val="20"/>
        </w:rPr>
        <w:t>igilance</w:t>
      </w:r>
      <w:proofErr w:type="spellEnd"/>
      <w:r w:rsidR="00B96D83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Datenbank geschickt wird</w:t>
      </w:r>
      <w:r w:rsidR="00B96D83">
        <w:rPr>
          <w:rStyle w:val="ds2"/>
          <w:rFonts w:ascii="Tahoma" w:hAnsi="Tahoma" w:cs="Tahoma"/>
          <w:color w:val="000000"/>
          <w:sz w:val="20"/>
          <w:szCs w:val="20"/>
        </w:rPr>
        <w:t xml:space="preserve"> und nicht an das BASG.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</w:p>
    <w:p w14:paraId="377EE0DF" w14:textId="05C5BB6C" w:rsidR="001B6D22" w:rsidRPr="007537BC" w:rsidRDefault="001B6D22" w:rsidP="001B6D22">
      <w:pPr>
        <w:pStyle w:val="parparagraph"/>
        <w:numPr>
          <w:ilvl w:val="0"/>
          <w:numId w:val="1"/>
        </w:numPr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Für jede </w:t>
      </w:r>
      <w:r w:rsidR="00B01F1F">
        <w:rPr>
          <w:rStyle w:val="ds2"/>
          <w:rFonts w:ascii="Tahoma" w:hAnsi="Tahoma" w:cs="Tahoma"/>
          <w:color w:val="000000"/>
          <w:sz w:val="20"/>
          <w:szCs w:val="20"/>
        </w:rPr>
        <w:t xml:space="preserve">SUSAR 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Meldung darf nur eine Übermittlungsart gewählt werden</w:t>
      </w:r>
      <w:r w:rsidR="00B96D83">
        <w:rPr>
          <w:rStyle w:val="ds2"/>
          <w:rFonts w:ascii="Tahoma" w:hAnsi="Tahoma" w:cs="Tahoma"/>
          <w:color w:val="000000"/>
          <w:sz w:val="20"/>
          <w:szCs w:val="20"/>
        </w:rPr>
        <w:t>.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</w:t>
      </w:r>
      <w:r w:rsidR="00B96D83">
        <w:rPr>
          <w:rStyle w:val="ds2"/>
          <w:rFonts w:ascii="Tahoma" w:hAnsi="Tahoma" w:cs="Tahoma"/>
          <w:color w:val="000000"/>
          <w:sz w:val="20"/>
          <w:szCs w:val="20"/>
        </w:rPr>
        <w:t>D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ie Mehrfach-Übermittlung derselben Meldung auf verschiedenen Wegen ist zu unterlassen.</w:t>
      </w:r>
    </w:p>
    <w:p w14:paraId="19859F9C" w14:textId="0DB3C6D9" w:rsidR="001B6D22" w:rsidRPr="007537BC" w:rsidRDefault="001B6D22" w:rsidP="001B6D22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Ad Datum: Bei neu eingereichten klinischen Prüfungen gilt hier das Datum der Einreichung. Bei laufenden klinischen Prüfungen das Datum der Umstellung des SUSAR Meldesystems.</w:t>
      </w:r>
    </w:p>
    <w:p w14:paraId="6408B6D8" w14:textId="283EE4DE" w:rsidR="001B6D22" w:rsidRPr="007537BC" w:rsidRDefault="001B6D22" w:rsidP="00E24DD3">
      <w:pPr>
        <w:rPr>
          <w:rStyle w:val="ds2"/>
          <w:rFonts w:cs="Tahoma"/>
          <w:color w:val="000000"/>
          <w:szCs w:val="20"/>
        </w:rPr>
      </w:pPr>
      <w:r w:rsidRPr="007537BC">
        <w:rPr>
          <w:rStyle w:val="ds2"/>
          <w:rFonts w:cs="Tahoma"/>
          <w:color w:val="000000"/>
          <w:szCs w:val="20"/>
        </w:rPr>
        <w:t>Da die Verpflichtung zur parallelen Meldung der SUSARs an die Ethikkommissionen von dieser Regelung unberührt bleib</w:t>
      </w:r>
      <w:r>
        <w:rPr>
          <w:rStyle w:val="ds2"/>
          <w:rFonts w:cs="Tahoma"/>
          <w:color w:val="000000"/>
          <w:szCs w:val="20"/>
        </w:rPr>
        <w:t>t</w:t>
      </w:r>
      <w:r w:rsidRPr="007537BC">
        <w:rPr>
          <w:rStyle w:val="ds2"/>
          <w:rFonts w:cs="Tahoma"/>
          <w:color w:val="000000"/>
          <w:szCs w:val="20"/>
        </w:rPr>
        <w:t>, entnehmen Sie die entsprechenden Vorgaben der „Leitlinie für Sicherheitsmeldungen“ auf der Webseite des Forums der Ethikkommissionen (</w:t>
      </w:r>
      <w:hyperlink r:id="rId11" w:history="1">
        <w:r w:rsidRPr="007537BC">
          <w:rPr>
            <w:rStyle w:val="Hyperlink"/>
            <w:rFonts w:cs="Tahoma"/>
            <w:szCs w:val="20"/>
          </w:rPr>
          <w:t>http://www.ethikkommissionen.at/</w:t>
        </w:r>
      </w:hyperlink>
      <w:r w:rsidRPr="007537BC">
        <w:rPr>
          <w:rStyle w:val="ds2"/>
          <w:rFonts w:cs="Tahoma"/>
          <w:color w:val="000000"/>
          <w:szCs w:val="20"/>
        </w:rPr>
        <w:t>).</w:t>
      </w:r>
      <w:r>
        <w:rPr>
          <w:rStyle w:val="ds2"/>
          <w:rFonts w:cs="Tahoma"/>
          <w:color w:val="000000"/>
          <w:szCs w:val="20"/>
        </w:rPr>
        <w:t xml:space="preserve">Senden Sie das ausgefüllte und unterfertigte Ansuchen gescannt per </w:t>
      </w:r>
      <w:r w:rsidR="0080631C">
        <w:rPr>
          <w:rStyle w:val="ds2"/>
          <w:rFonts w:cs="Tahoma"/>
          <w:color w:val="000000"/>
          <w:szCs w:val="20"/>
        </w:rPr>
        <w:t>E</w:t>
      </w:r>
      <w:r>
        <w:rPr>
          <w:rStyle w:val="ds2"/>
          <w:rFonts w:cs="Tahoma"/>
          <w:color w:val="000000"/>
          <w:szCs w:val="20"/>
        </w:rPr>
        <w:t xml:space="preserve">mail an folgende Adresse: </w:t>
      </w:r>
      <w:hyperlink r:id="rId12" w:history="1">
        <w:r w:rsidR="00497787">
          <w:rPr>
            <w:rStyle w:val="Hyperlink"/>
            <w:rFonts w:cs="Tahoma"/>
            <w:szCs w:val="20"/>
          </w:rPr>
          <w:t>susar@basg.gv.at</w:t>
        </w:r>
      </w:hyperlink>
      <w:r>
        <w:rPr>
          <w:rStyle w:val="ds2"/>
          <w:rFonts w:cs="Tahoma"/>
          <w:color w:val="000000"/>
          <w:szCs w:val="20"/>
        </w:rPr>
        <w:t xml:space="preserve">. Im Betreff bitte Firmenkürzel unmittelbar gefolgt von „SUSAR Meldung BASG“ angeben. Im Text der </w:t>
      </w:r>
      <w:r w:rsidR="0080631C">
        <w:rPr>
          <w:rStyle w:val="ds2"/>
          <w:rFonts w:cs="Tahoma"/>
          <w:color w:val="000000"/>
          <w:szCs w:val="20"/>
        </w:rPr>
        <w:t>E</w:t>
      </w:r>
      <w:r w:rsidR="00E24DD3">
        <w:rPr>
          <w:rStyle w:val="ds2"/>
          <w:rFonts w:cs="Tahoma"/>
          <w:color w:val="000000"/>
          <w:szCs w:val="20"/>
        </w:rPr>
        <w:t>-M</w:t>
      </w:r>
      <w:r>
        <w:rPr>
          <w:rStyle w:val="ds2"/>
          <w:rFonts w:cs="Tahoma"/>
          <w:color w:val="000000"/>
          <w:szCs w:val="20"/>
        </w:rPr>
        <w:t xml:space="preserve">ail jedenfalls die vollständige </w:t>
      </w:r>
      <w:proofErr w:type="spellStart"/>
      <w:r>
        <w:rPr>
          <w:rStyle w:val="ds2"/>
          <w:rFonts w:cs="Tahoma"/>
          <w:color w:val="000000"/>
          <w:szCs w:val="20"/>
        </w:rPr>
        <w:t>Sponsoranschrift</w:t>
      </w:r>
      <w:proofErr w:type="spellEnd"/>
      <w:r>
        <w:rPr>
          <w:rStyle w:val="ds2"/>
          <w:rFonts w:cs="Tahoma"/>
          <w:color w:val="000000"/>
          <w:szCs w:val="20"/>
        </w:rPr>
        <w:t xml:space="preserve"> anführen. Tipp: Verwenden sie in der </w:t>
      </w:r>
      <w:proofErr w:type="gramStart"/>
      <w:r w:rsidR="0080631C">
        <w:rPr>
          <w:rStyle w:val="ds2"/>
          <w:rFonts w:cs="Tahoma"/>
          <w:color w:val="000000"/>
          <w:szCs w:val="20"/>
        </w:rPr>
        <w:t>E</w:t>
      </w:r>
      <w:r w:rsidR="00E24DD3">
        <w:rPr>
          <w:rStyle w:val="ds2"/>
          <w:rFonts w:cs="Tahoma"/>
          <w:color w:val="000000"/>
          <w:szCs w:val="20"/>
        </w:rPr>
        <w:t>-M</w:t>
      </w:r>
      <w:r>
        <w:rPr>
          <w:rStyle w:val="ds2"/>
          <w:rFonts w:cs="Tahoma"/>
          <w:color w:val="000000"/>
          <w:szCs w:val="20"/>
        </w:rPr>
        <w:t>ail Nachricht</w:t>
      </w:r>
      <w:proofErr w:type="gramEnd"/>
      <w:r>
        <w:rPr>
          <w:rStyle w:val="ds2"/>
          <w:rFonts w:cs="Tahoma"/>
          <w:color w:val="000000"/>
          <w:szCs w:val="20"/>
        </w:rPr>
        <w:t xml:space="preserve"> die Funktion „Empfangsbestätigung“, um den erfolgten Empfang des Dokuments durch </w:t>
      </w:r>
      <w:r w:rsidR="00FB7734">
        <w:rPr>
          <w:rStyle w:val="ds2"/>
          <w:rFonts w:cs="Tahoma"/>
          <w:color w:val="000000"/>
          <w:szCs w:val="20"/>
        </w:rPr>
        <w:t>das BASG</w:t>
      </w:r>
      <w:r>
        <w:rPr>
          <w:rStyle w:val="ds2"/>
          <w:rFonts w:cs="Tahoma"/>
          <w:color w:val="000000"/>
          <w:szCs w:val="20"/>
        </w:rPr>
        <w:t xml:space="preserve"> belegen zu können.</w:t>
      </w:r>
    </w:p>
    <w:p w14:paraId="3D5B5F73" w14:textId="77777777" w:rsidR="001B6D22" w:rsidRPr="007537BC" w:rsidRDefault="001B6D22" w:rsidP="001B6D22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75699697" w14:textId="77777777" w:rsidR="001B6D22" w:rsidRPr="007537BC" w:rsidRDefault="001B6D22" w:rsidP="001B6D22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6EC31A8F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4DDEDBF4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79A91127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66040C7D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445FF30C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2FFBF2D2" w14:textId="77777777" w:rsidR="001B6D22" w:rsidRPr="007537BC" w:rsidRDefault="001B6D22" w:rsidP="001B6D22">
      <w:pPr>
        <w:rPr>
          <w:rFonts w:cs="Tahoma"/>
          <w:color w:val="000000"/>
          <w:szCs w:val="20"/>
        </w:rPr>
      </w:pPr>
      <w:r w:rsidRPr="007537BC">
        <w:rPr>
          <w:rFonts w:cs="Tahoma"/>
          <w:color w:val="000000"/>
          <w:szCs w:val="20"/>
        </w:rPr>
        <w:t>Ort, Datum, Name</w:t>
      </w:r>
      <w:r>
        <w:rPr>
          <w:rFonts w:cs="Tahoma"/>
          <w:color w:val="000000"/>
          <w:szCs w:val="20"/>
        </w:rPr>
        <w:t>:</w:t>
      </w:r>
      <w:r w:rsidRPr="007537BC">
        <w:rPr>
          <w:rFonts w:cs="Tahoma"/>
          <w:color w:val="000000"/>
          <w:szCs w:val="20"/>
        </w:rPr>
        <w:t xml:space="preserve"> </w:t>
      </w:r>
      <w:r w:rsidR="00FF2965" w:rsidRPr="00C111D3">
        <w:rPr>
          <w:rFonts w:cs="Tahoma"/>
          <w:i/>
          <w:noProof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F2965" w:rsidRPr="00C111D3">
        <w:rPr>
          <w:rFonts w:cs="Tahoma"/>
          <w:i/>
          <w:noProof/>
          <w:lang w:val="en-GB"/>
        </w:rPr>
        <w:instrText xml:space="preserve"> FORMTEXT </w:instrText>
      </w:r>
      <w:r w:rsidR="00FF2965" w:rsidRPr="00C111D3">
        <w:rPr>
          <w:rFonts w:cs="Tahoma"/>
          <w:i/>
          <w:noProof/>
          <w:lang w:val="en-GB"/>
        </w:rPr>
      </w:r>
      <w:r w:rsidR="00FF2965" w:rsidRPr="00C111D3">
        <w:rPr>
          <w:rFonts w:cs="Tahoma"/>
          <w:i/>
          <w:noProof/>
          <w:lang w:val="en-GB"/>
        </w:rPr>
        <w:fldChar w:fldCharType="separate"/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 w:rsidRPr="00C111D3">
        <w:rPr>
          <w:rFonts w:cs="Tahoma"/>
          <w:i/>
          <w:noProof/>
          <w:lang w:val="en-GB"/>
        </w:rPr>
        <w:fldChar w:fldCharType="end"/>
      </w:r>
    </w:p>
    <w:p w14:paraId="6F9F257F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476E76B7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73CD34CD" w14:textId="77777777" w:rsidR="001B6D22" w:rsidRPr="007537BC" w:rsidRDefault="001B6D22" w:rsidP="001B6D22">
      <w:pPr>
        <w:rPr>
          <w:rFonts w:cs="Tahoma"/>
          <w:color w:val="000000"/>
          <w:szCs w:val="20"/>
        </w:rPr>
      </w:pPr>
    </w:p>
    <w:p w14:paraId="226F9303" w14:textId="77777777" w:rsidR="001B6D22" w:rsidRPr="007537BC" w:rsidRDefault="001B6D22" w:rsidP="001B6D22">
      <w:pPr>
        <w:rPr>
          <w:rFonts w:cs="Tahoma"/>
          <w:color w:val="000000"/>
          <w:szCs w:val="20"/>
        </w:rPr>
      </w:pPr>
      <w:r w:rsidRPr="007537BC">
        <w:rPr>
          <w:rFonts w:cs="Tahoma"/>
          <w:color w:val="000000"/>
          <w:szCs w:val="20"/>
        </w:rPr>
        <w:t>Unterschrift</w:t>
      </w:r>
      <w:r>
        <w:rPr>
          <w:rFonts w:cs="Tahoma"/>
          <w:color w:val="000000"/>
          <w:szCs w:val="20"/>
        </w:rPr>
        <w:t>:</w:t>
      </w:r>
    </w:p>
    <w:p w14:paraId="2D679B5B" w14:textId="77777777" w:rsidR="001B6D22" w:rsidRPr="007537BC" w:rsidRDefault="001B6D22" w:rsidP="001B6D22">
      <w:pPr>
        <w:rPr>
          <w:rFonts w:cs="Tahoma"/>
          <w:szCs w:val="20"/>
        </w:rPr>
      </w:pPr>
    </w:p>
    <w:p w14:paraId="7ABFAD8C" w14:textId="77777777" w:rsidR="001B6D22" w:rsidRPr="007537BC" w:rsidRDefault="001B6D22" w:rsidP="001B6D22">
      <w:pPr>
        <w:rPr>
          <w:rFonts w:cs="Tahoma"/>
          <w:szCs w:val="20"/>
        </w:rPr>
      </w:pPr>
    </w:p>
    <w:p w14:paraId="2671DC9B" w14:textId="77777777" w:rsidR="001B6D22" w:rsidRPr="007537BC" w:rsidRDefault="001B6D22" w:rsidP="001B6D22">
      <w:pPr>
        <w:rPr>
          <w:rFonts w:cs="Tahoma"/>
          <w:szCs w:val="20"/>
        </w:rPr>
      </w:pPr>
    </w:p>
    <w:p w14:paraId="7928ECD0" w14:textId="77777777" w:rsidR="00893A20" w:rsidRDefault="00893A20"/>
    <w:sectPr w:rsidR="00893A20" w:rsidSect="001B6D2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474" w:left="1418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A7E40" w14:textId="77777777" w:rsidR="006D1D95" w:rsidRDefault="006D1D95">
      <w:r>
        <w:separator/>
      </w:r>
    </w:p>
  </w:endnote>
  <w:endnote w:type="continuationSeparator" w:id="0">
    <w:p w14:paraId="3E436B84" w14:textId="77777777" w:rsidR="006D1D95" w:rsidRDefault="006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802"/>
      <w:gridCol w:w="3543"/>
      <w:gridCol w:w="3119"/>
    </w:tblGrid>
    <w:tr w:rsidR="009F5B3B" w14:paraId="3F6E70DC" w14:textId="77777777">
      <w:trPr>
        <w:trHeight w:val="70"/>
      </w:trPr>
      <w:tc>
        <w:tcPr>
          <w:tcW w:w="2802" w:type="dxa"/>
        </w:tcPr>
        <w:p w14:paraId="7FE31F70" w14:textId="5A630BB9" w:rsidR="009F5B3B" w:rsidRPr="00A662C9" w:rsidRDefault="009F5B3B" w:rsidP="0097014F">
          <w:pPr>
            <w:pStyle w:val="Fuzeile"/>
            <w:rPr>
              <w:sz w:val="14"/>
              <w:lang w:val="fr-FR"/>
            </w:rPr>
          </w:pPr>
          <w:r w:rsidRPr="00A662C9">
            <w:rPr>
              <w:sz w:val="14"/>
              <w:lang w:val="fr-FR"/>
            </w:rPr>
            <w:t>F_</w:t>
          </w:r>
          <w:r w:rsidR="0097014F">
            <w:rPr>
              <w:sz w:val="14"/>
              <w:lang w:val="fr-FR"/>
            </w:rPr>
            <w:t>INS</w:t>
          </w:r>
          <w:r w:rsidRPr="00A662C9">
            <w:rPr>
              <w:sz w:val="14"/>
              <w:lang w:val="fr-FR"/>
            </w:rPr>
            <w:t>_VIE_</w:t>
          </w:r>
          <w:r w:rsidR="00123D1B">
            <w:rPr>
              <w:sz w:val="14"/>
              <w:lang w:val="fr-FR"/>
            </w:rPr>
            <w:t>CLTR</w:t>
          </w:r>
          <w:r w:rsidRPr="00A662C9">
            <w:rPr>
              <w:sz w:val="14"/>
              <w:lang w:val="fr-FR"/>
            </w:rPr>
            <w:t>_</w:t>
          </w:r>
          <w:r w:rsidR="0097014F">
            <w:rPr>
              <w:sz w:val="14"/>
              <w:lang w:val="fr-FR"/>
            </w:rPr>
            <w:t>I437</w:t>
          </w:r>
          <w:r>
            <w:rPr>
              <w:sz w:val="14"/>
              <w:lang w:val="fr-FR"/>
            </w:rPr>
            <w:t>_</w:t>
          </w:r>
          <w:r w:rsidR="00362743">
            <w:rPr>
              <w:sz w:val="14"/>
              <w:lang w:val="fr-FR"/>
            </w:rPr>
            <w:t>04</w:t>
          </w:r>
        </w:p>
      </w:tc>
      <w:tc>
        <w:tcPr>
          <w:tcW w:w="3543" w:type="dxa"/>
        </w:tcPr>
        <w:p w14:paraId="4739FE07" w14:textId="1F744EAD" w:rsidR="009F5B3B" w:rsidRPr="00C91DCF" w:rsidRDefault="009F5B3B" w:rsidP="00362743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E24DD3">
            <w:rPr>
              <w:sz w:val="14"/>
            </w:rPr>
            <w:t>21.08.2024</w:t>
          </w:r>
        </w:p>
      </w:tc>
      <w:tc>
        <w:tcPr>
          <w:tcW w:w="3119" w:type="dxa"/>
          <w:shd w:val="clear" w:color="auto" w:fill="auto"/>
        </w:tcPr>
        <w:p w14:paraId="16D33394" w14:textId="77777777" w:rsidR="009F5B3B" w:rsidRPr="00C91DCF" w:rsidRDefault="009F5B3B" w:rsidP="003150A3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62743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62743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0AEC7554" w14:textId="77777777" w:rsidR="009F5B3B" w:rsidRPr="00810583" w:rsidRDefault="009F5B3B">
    <w:pPr>
      <w:pStyle w:val="Fuzeile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F5B3B" w14:paraId="47D5C57E" w14:textId="77777777">
      <w:tc>
        <w:tcPr>
          <w:tcW w:w="9180" w:type="dxa"/>
          <w:gridSpan w:val="3"/>
        </w:tcPr>
        <w:p w14:paraId="65348AA6" w14:textId="77777777" w:rsidR="009F5B3B" w:rsidRPr="00C91DCF" w:rsidRDefault="009F5B3B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14:paraId="2BB7DE3E" w14:textId="77777777" w:rsidR="009F5B3B" w:rsidRPr="009E0C5B" w:rsidRDefault="00E744F7" w:rsidP="003150A3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41370E" wp14:editId="47E9E01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F5B3B" w14:paraId="13B97A3D" w14:textId="77777777">
      <w:tc>
        <w:tcPr>
          <w:tcW w:w="9180" w:type="dxa"/>
          <w:gridSpan w:val="3"/>
        </w:tcPr>
        <w:p w14:paraId="6F064BDC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14:paraId="5F993600" w14:textId="77777777" w:rsidR="009F5B3B" w:rsidRDefault="009F5B3B">
          <w:pPr>
            <w:pStyle w:val="Fuzeile"/>
          </w:pPr>
        </w:p>
      </w:tc>
    </w:tr>
    <w:tr w:rsidR="009F5B3B" w14:paraId="622B9149" w14:textId="77777777">
      <w:tc>
        <w:tcPr>
          <w:tcW w:w="9180" w:type="dxa"/>
          <w:gridSpan w:val="3"/>
        </w:tcPr>
        <w:p w14:paraId="4D9340A3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14:paraId="25239C30" w14:textId="77777777" w:rsidR="009F5B3B" w:rsidRDefault="009F5B3B">
          <w:pPr>
            <w:pStyle w:val="Fuzeile"/>
          </w:pPr>
        </w:p>
      </w:tc>
    </w:tr>
    <w:tr w:rsidR="009F5B3B" w:rsidRPr="00E24DD3" w14:paraId="4399712F" w14:textId="77777777">
      <w:tc>
        <w:tcPr>
          <w:tcW w:w="9180" w:type="dxa"/>
          <w:gridSpan w:val="3"/>
        </w:tcPr>
        <w:p w14:paraId="3C719209" w14:textId="77777777" w:rsidR="009F5B3B" w:rsidRPr="00841B04" w:rsidRDefault="009F5B3B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Nr.: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14:paraId="6BFC280D" w14:textId="77777777" w:rsidR="009F5B3B" w:rsidRPr="00841B04" w:rsidRDefault="009F5B3B">
          <w:pPr>
            <w:pStyle w:val="Fuzeile"/>
            <w:rPr>
              <w:lang w:val="en-GB"/>
            </w:rPr>
          </w:pPr>
        </w:p>
      </w:tc>
    </w:tr>
    <w:tr w:rsidR="009F5B3B" w:rsidRPr="00E24DD3" w14:paraId="3F1279C3" w14:textId="77777777">
      <w:trPr>
        <w:trHeight w:val="56"/>
      </w:trPr>
      <w:tc>
        <w:tcPr>
          <w:tcW w:w="9180" w:type="dxa"/>
          <w:gridSpan w:val="3"/>
        </w:tcPr>
        <w:p w14:paraId="7097F8A7" w14:textId="77777777" w:rsidR="009F5B3B" w:rsidRPr="00841B04" w:rsidRDefault="009F5B3B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14:paraId="112B240B" w14:textId="77777777" w:rsidR="009F5B3B" w:rsidRPr="00463E0D" w:rsidRDefault="009F5B3B" w:rsidP="003150A3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F5B3B" w14:paraId="0B155600" w14:textId="77777777">
      <w:trPr>
        <w:trHeight w:val="70"/>
      </w:trPr>
      <w:tc>
        <w:tcPr>
          <w:tcW w:w="3249" w:type="dxa"/>
        </w:tcPr>
        <w:p w14:paraId="42D5F76B" w14:textId="77777777"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2581ABF3" w14:textId="77777777" w:rsidR="009F5B3B" w:rsidRPr="00C91DCF" w:rsidRDefault="009F5B3B" w:rsidP="003150A3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14:paraId="7AAE4837" w14:textId="77777777" w:rsidR="009F5B3B" w:rsidRPr="00C91DCF" w:rsidRDefault="009F5B3B" w:rsidP="003150A3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72DBA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4C9106C1" w14:textId="77777777" w:rsidR="009F5B3B" w:rsidRDefault="009F5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486D" w14:textId="77777777" w:rsidR="006D1D95" w:rsidRDefault="006D1D95">
      <w:r>
        <w:separator/>
      </w:r>
    </w:p>
  </w:footnote>
  <w:footnote w:type="continuationSeparator" w:id="0">
    <w:p w14:paraId="4DB91E8C" w14:textId="77777777" w:rsidR="006D1D95" w:rsidRDefault="006D1D95">
      <w:r>
        <w:continuationSeparator/>
      </w:r>
    </w:p>
  </w:footnote>
  <w:footnote w:id="1">
    <w:p w14:paraId="7245A6B1" w14:textId="4D1E69E6" w:rsidR="00FF2965" w:rsidRPr="00E24DD3" w:rsidRDefault="00FF2965" w:rsidP="00FF2965">
      <w:pPr>
        <w:pStyle w:val="Funotentext"/>
        <w:rPr>
          <w:lang w:val="de-DE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E24DD3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662C9">
        <w:rPr>
          <w:rFonts w:ascii="Tahoma" w:hAnsi="Tahoma" w:cs="Tahoma"/>
          <w:sz w:val="18"/>
          <w:szCs w:val="18"/>
        </w:rPr>
        <w:t xml:space="preserve">Eingabe entweder </w:t>
      </w:r>
      <w:r w:rsidR="00A24BBE">
        <w:rPr>
          <w:rFonts w:ascii="Tahoma" w:hAnsi="Tahoma" w:cs="Tahoma"/>
          <w:sz w:val="18"/>
          <w:szCs w:val="18"/>
        </w:rPr>
        <w:t xml:space="preserve">einer </w:t>
      </w:r>
      <w:r w:rsidRPr="00A662C9">
        <w:rPr>
          <w:rFonts w:ascii="Tahoma" w:hAnsi="Tahoma" w:cs="Tahoma"/>
          <w:sz w:val="18"/>
          <w:szCs w:val="18"/>
        </w:rPr>
        <w:t xml:space="preserve">studienspezifische </w:t>
      </w:r>
      <w:proofErr w:type="spellStart"/>
      <w:r w:rsidRPr="00A662C9">
        <w:rPr>
          <w:rFonts w:ascii="Tahoma" w:hAnsi="Tahoma" w:cs="Tahoma"/>
          <w:sz w:val="18"/>
          <w:szCs w:val="18"/>
        </w:rPr>
        <w:t>EudraCT</w:t>
      </w:r>
      <w:proofErr w:type="spellEnd"/>
      <w:r w:rsidR="00A24BBE">
        <w:rPr>
          <w:rFonts w:ascii="Tahoma" w:hAnsi="Tahoma" w:cs="Tahoma"/>
          <w:sz w:val="18"/>
          <w:szCs w:val="18"/>
        </w:rPr>
        <w:t xml:space="preserve"> Nummer</w:t>
      </w:r>
      <w:r w:rsidRPr="00A662C9">
        <w:rPr>
          <w:rFonts w:ascii="Tahoma" w:hAnsi="Tahoma" w:cs="Tahoma"/>
          <w:sz w:val="18"/>
          <w:szCs w:val="18"/>
        </w:rPr>
        <w:t xml:space="preserve"> oder „laufende und künftige Studien“</w:t>
      </w:r>
      <w:r w:rsidR="00A24BBE">
        <w:rPr>
          <w:rFonts w:ascii="Tahoma" w:hAnsi="Tahoma" w:cs="Tahoma"/>
          <w:sz w:val="18"/>
          <w:szCs w:val="18"/>
        </w:rPr>
        <w:t>.</w:t>
      </w:r>
    </w:p>
  </w:footnote>
  <w:footnote w:id="2">
    <w:p w14:paraId="7518CF2E" w14:textId="22D174D3" w:rsidR="00FF2965" w:rsidRPr="00E24DD3" w:rsidRDefault="00FF2965" w:rsidP="00FF2965">
      <w:pPr>
        <w:pStyle w:val="Funotentext"/>
        <w:rPr>
          <w:lang w:val="de-DE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E24DD3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662C9">
        <w:rPr>
          <w:rFonts w:ascii="Tahoma" w:hAnsi="Tahoma" w:cs="Tahoma"/>
          <w:sz w:val="18"/>
          <w:szCs w:val="18"/>
        </w:rPr>
        <w:t xml:space="preserve">z.B. Relevante Ausnahmen von SUSAR-Berichten, die (noch) nicht über </w:t>
      </w:r>
      <w:r w:rsidR="00717775">
        <w:rPr>
          <w:rFonts w:ascii="Tahoma" w:hAnsi="Tahoma" w:cs="Tahoma"/>
          <w:sz w:val="18"/>
          <w:szCs w:val="18"/>
        </w:rPr>
        <w:t xml:space="preserve">die </w:t>
      </w:r>
      <w:proofErr w:type="spellStart"/>
      <w:r w:rsidR="00717775">
        <w:rPr>
          <w:rFonts w:ascii="Tahoma" w:hAnsi="Tahoma" w:cs="Tahoma"/>
          <w:sz w:val="18"/>
          <w:szCs w:val="18"/>
        </w:rPr>
        <w:t>Eudra</w:t>
      </w:r>
      <w:r w:rsidR="00A24BBE">
        <w:rPr>
          <w:rFonts w:ascii="Tahoma" w:hAnsi="Tahoma" w:cs="Tahoma"/>
          <w:sz w:val="18"/>
          <w:szCs w:val="18"/>
        </w:rPr>
        <w:t>V</w:t>
      </w:r>
      <w:r w:rsidR="00717775">
        <w:rPr>
          <w:rFonts w:ascii="Tahoma" w:hAnsi="Tahoma" w:cs="Tahoma"/>
          <w:sz w:val="18"/>
          <w:szCs w:val="18"/>
        </w:rPr>
        <w:t>igilance</w:t>
      </w:r>
      <w:proofErr w:type="spellEnd"/>
      <w:r w:rsidR="00717775">
        <w:rPr>
          <w:rFonts w:ascii="Tahoma" w:hAnsi="Tahoma" w:cs="Tahoma"/>
          <w:sz w:val="18"/>
          <w:szCs w:val="18"/>
        </w:rPr>
        <w:t xml:space="preserve"> Datenbank</w:t>
      </w:r>
      <w:r w:rsidRPr="00A662C9">
        <w:rPr>
          <w:rFonts w:ascii="Tahoma" w:hAnsi="Tahoma" w:cs="Tahoma"/>
          <w:sz w:val="18"/>
          <w:szCs w:val="18"/>
        </w:rPr>
        <w:t xml:space="preserve"> gemeldet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F17C" w14:textId="77777777" w:rsidR="009F5B3B" w:rsidRDefault="00095572" w:rsidP="00FF2965">
    <w:pPr>
      <w:pStyle w:val="Kopfzeile"/>
      <w:tabs>
        <w:tab w:val="clear" w:pos="4536"/>
        <w:tab w:val="clear" w:pos="9072"/>
        <w:tab w:val="right" w:pos="9354"/>
      </w:tabs>
      <w:ind w:left="-680"/>
    </w:pPr>
    <w:r>
      <w:rPr>
        <w:lang w:val="de-DE" w:eastAsia="de-DE"/>
      </w:rPr>
      <w:drawing>
        <wp:inline distT="0" distB="0" distL="0" distR="0" wp14:anchorId="79E03CA4" wp14:editId="2A8355F7">
          <wp:extent cx="2018030" cy="707390"/>
          <wp:effectExtent l="0" t="0" r="127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9955"/>
    </w:tblGrid>
    <w:tr w:rsidR="009F5B3B" w14:paraId="46691AC0" w14:textId="77777777">
      <w:tc>
        <w:tcPr>
          <w:tcW w:w="10232" w:type="dxa"/>
        </w:tcPr>
        <w:p w14:paraId="2327BC22" w14:textId="77777777" w:rsidR="009F5B3B" w:rsidRPr="00460489" w:rsidRDefault="00E744F7" w:rsidP="003150A3">
          <w:pPr>
            <w:pStyle w:val="Kopfzeile"/>
            <w:ind w:left="-79"/>
          </w:pPr>
          <w:r>
            <w:rPr>
              <w:szCs w:val="20"/>
              <w:lang w:val="de-DE" w:eastAsia="de-DE"/>
            </w:rPr>
            <w:drawing>
              <wp:anchor distT="0" distB="0" distL="114300" distR="114300" simplePos="0" relativeHeight="251655168" behindDoc="1" locked="0" layoutInCell="1" allowOverlap="1" wp14:anchorId="0B85BE46" wp14:editId="24E1393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4144" behindDoc="0" locked="1" layoutInCell="0" allowOverlap="1" wp14:anchorId="6F5D4FF1" wp14:editId="69D0C3A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2E67A3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PuJ2xjbAAAACQEAAA8AAABkcnMvZG93bnJldi54&#10;bWxMj0FPwzAMhe9I+w+RkbixpC1DU2k6TUOcOG0gjWPWmKZa41RNtnX/fuaA4Ga/Zz1/r1pNvhdn&#10;HGMXSEM2VyCQmmA7ajV8frw9LkHEZMiaPhBquGKEVT27q0xpw4W2eN6lVnAIxdJocCkNpZSxcehN&#10;nIcBib3vMHqTeB1baUdz4XDfy1ypZ+lNR/zBmQE3Dpvj7uQ1vDbXxeJrKNpCZZu982qfvx9J64f7&#10;af0CIuGU/o7hB5/RoWamQziRjaLXwEUSq1nxxBP7+bIAcfhVZF3J/w3qG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D7idsY2wAAAAk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1072" behindDoc="0" locked="1" layoutInCell="1" allowOverlap="0" wp14:anchorId="08EE446C" wp14:editId="37C38E8B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5050790</wp:posOffset>
                    </wp:positionV>
                    <wp:extent cx="179705" cy="0"/>
                    <wp:effectExtent l="10795" t="12065" r="9525" b="698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59B103" id="Line 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0048" behindDoc="0" locked="1" layoutInCell="0" allowOverlap="1" wp14:anchorId="644043E2" wp14:editId="107929B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4D4583" id="Line 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LibRKjbAAAABwEAAA8AAABkcnMvZG93bnJldi54&#10;bWxMj8FqwzAQRO+F/oPYQG+NFBs3wbUcSkpPPTUNpMeNtbFMrJWxlMT5+6pQaI87M8y8rdaT68WF&#10;xtB51rCYKxDEjTcdtxp2n2+PKxAhIhvsPZOGGwVY1/d3FZbGX/mDLtvYilTCoUQNNsahlDI0lhyG&#10;uR+Ik3f0o8OYzrGVZsRrKne9zJR6kg47TgsWB9pYak7bs9Pw2tyK4mvI21wtNnvr1D57P7HWD7Pp&#10;5RlEpCn+heEHP6FDnZgO/swmiF5DeiRqKJbZEkSys1UO4vAryLqS//nrb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C4m0So2wAAAAc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49340CA5" w14:textId="77777777" w:rsidR="009F5B3B" w:rsidRDefault="009F5B3B" w:rsidP="003150A3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941"/>
    <w:multiLevelType w:val="hybridMultilevel"/>
    <w:tmpl w:val="B5A63C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1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22"/>
    <w:rsid w:val="0000441F"/>
    <w:rsid w:val="00090B77"/>
    <w:rsid w:val="00095572"/>
    <w:rsid w:val="000F42A8"/>
    <w:rsid w:val="00123D1B"/>
    <w:rsid w:val="00167BFB"/>
    <w:rsid w:val="001B6D22"/>
    <w:rsid w:val="001E0EB4"/>
    <w:rsid w:val="0027171E"/>
    <w:rsid w:val="002B1FC5"/>
    <w:rsid w:val="002C643F"/>
    <w:rsid w:val="002D7FEF"/>
    <w:rsid w:val="003150A3"/>
    <w:rsid w:val="00330CB6"/>
    <w:rsid w:val="00362743"/>
    <w:rsid w:val="0036376F"/>
    <w:rsid w:val="00372DBA"/>
    <w:rsid w:val="003B7F54"/>
    <w:rsid w:val="0042610D"/>
    <w:rsid w:val="00462BDD"/>
    <w:rsid w:val="00497787"/>
    <w:rsid w:val="004F4951"/>
    <w:rsid w:val="00527741"/>
    <w:rsid w:val="00583498"/>
    <w:rsid w:val="00692CAC"/>
    <w:rsid w:val="006C1928"/>
    <w:rsid w:val="006D1D95"/>
    <w:rsid w:val="006D6845"/>
    <w:rsid w:val="007129E5"/>
    <w:rsid w:val="00717775"/>
    <w:rsid w:val="0074159A"/>
    <w:rsid w:val="00747BF8"/>
    <w:rsid w:val="00755C3A"/>
    <w:rsid w:val="007F3033"/>
    <w:rsid w:val="0080631C"/>
    <w:rsid w:val="008338D7"/>
    <w:rsid w:val="00893A20"/>
    <w:rsid w:val="008E63F7"/>
    <w:rsid w:val="008F254A"/>
    <w:rsid w:val="009022BB"/>
    <w:rsid w:val="0097014F"/>
    <w:rsid w:val="00986B47"/>
    <w:rsid w:val="009A23D4"/>
    <w:rsid w:val="009E04FC"/>
    <w:rsid w:val="009F5B3B"/>
    <w:rsid w:val="00A24BBE"/>
    <w:rsid w:val="00B01F1F"/>
    <w:rsid w:val="00B44D8A"/>
    <w:rsid w:val="00B96D83"/>
    <w:rsid w:val="00C22BA8"/>
    <w:rsid w:val="00C40FD8"/>
    <w:rsid w:val="00C941A9"/>
    <w:rsid w:val="00CC6735"/>
    <w:rsid w:val="00DA744F"/>
    <w:rsid w:val="00DB0524"/>
    <w:rsid w:val="00E24DD3"/>
    <w:rsid w:val="00E353FB"/>
    <w:rsid w:val="00E744F7"/>
    <w:rsid w:val="00E82C8B"/>
    <w:rsid w:val="00EC3586"/>
    <w:rsid w:val="00EE292D"/>
    <w:rsid w:val="00F261BC"/>
    <w:rsid w:val="00F67990"/>
    <w:rsid w:val="00F8257A"/>
    <w:rsid w:val="00FB773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76461B5"/>
  <w15:docId w15:val="{CC7FC2A2-80E4-437B-908F-E3DA67A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6D22"/>
    <w:rPr>
      <w:rFonts w:ascii="Tahoma" w:hAnsi="Tahoma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6D22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rsid w:val="001B6D2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B6D2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6D22"/>
    <w:rPr>
      <w:rFonts w:ascii="Tahoma" w:hAnsi="Tahoma"/>
    </w:rPr>
  </w:style>
  <w:style w:type="paragraph" w:customStyle="1" w:styleId="parparagraph">
    <w:name w:val="parparagraph"/>
    <w:basedOn w:val="Standard"/>
    <w:rsid w:val="001B6D22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Absatz-Standardschriftart"/>
    <w:rsid w:val="001B6D22"/>
    <w:rPr>
      <w:color w:val="0000FF"/>
      <w:u w:val="single"/>
    </w:rPr>
  </w:style>
  <w:style w:type="character" w:customStyle="1" w:styleId="ds2">
    <w:name w:val="ds2"/>
    <w:basedOn w:val="Absatz-Standardschriftart"/>
    <w:rsid w:val="001B6D22"/>
  </w:style>
  <w:style w:type="paragraph" w:styleId="Funotentext">
    <w:name w:val="footnote text"/>
    <w:basedOn w:val="Standard"/>
    <w:link w:val="FunotentextZchn"/>
    <w:uiPriority w:val="99"/>
    <w:semiHidden/>
    <w:rsid w:val="001B6D22"/>
    <w:rPr>
      <w:rFonts w:ascii="Times New Roman" w:hAnsi="Times New Roman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rsid w:val="001B6D22"/>
    <w:rPr>
      <w:vertAlign w:val="superscript"/>
    </w:rPr>
  </w:style>
  <w:style w:type="paragraph" w:styleId="Sprechblasentext">
    <w:name w:val="Balloon Text"/>
    <w:basedOn w:val="Standard"/>
    <w:semiHidden/>
    <w:rsid w:val="00090B77"/>
    <w:rPr>
      <w:rFonts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FF2965"/>
    <w:rPr>
      <w:lang w:val="de-AT" w:eastAsia="de-AT"/>
    </w:rPr>
  </w:style>
  <w:style w:type="paragraph" w:styleId="berarbeitung">
    <w:name w:val="Revision"/>
    <w:hidden/>
    <w:uiPriority w:val="99"/>
    <w:semiHidden/>
    <w:rsid w:val="00123D1B"/>
    <w:rPr>
      <w:rFonts w:ascii="Tahoma" w:hAnsi="Tahoma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73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44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research-development/pharmacovigilance-research-development/eudravigilance/eudravigilance-system-overview#data-submission-and-collection-704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r@basg.gv.at" TargetMode="External"/><Relationship Id="rId12" Type="http://schemas.openxmlformats.org/officeDocument/2006/relationships/hyperlink" Target="mailto:susar@basg.gv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hikkommissionen.a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asg.gv.at/fileadmin/redakteure/01_Formulare_Listen/I/L_I209_Guidance_CT_submission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g.gv.at/fileadmin/redakteure/01_Formulare_Listen/I/L_I206_Leitfaden_KP__Einreichung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BASG / AGES PharmMed</vt:lpstr>
    </vt:vector>
  </TitlesOfParts>
  <Company>AGES GmbH</Company>
  <LinksUpToDate>false</LinksUpToDate>
  <CharactersWithSpaces>3353</CharactersWithSpaces>
  <SharedDoc>false</SharedDoc>
  <HLinks>
    <vt:vector size="24" baseType="variant">
      <vt:variant>
        <vt:i4>3670092</vt:i4>
      </vt:variant>
      <vt:variant>
        <vt:i4>9</vt:i4>
      </vt:variant>
      <vt:variant>
        <vt:i4>0</vt:i4>
      </vt:variant>
      <vt:variant>
        <vt:i4>5</vt:i4>
      </vt:variant>
      <vt:variant>
        <vt:lpwstr>mailto:pharm-vigilanz@ages.at</vt:lpwstr>
      </vt:variant>
      <vt:variant>
        <vt:lpwstr/>
      </vt:variant>
      <vt:variant>
        <vt:i4>1769473</vt:i4>
      </vt:variant>
      <vt:variant>
        <vt:i4>6</vt:i4>
      </vt:variant>
      <vt:variant>
        <vt:i4>0</vt:i4>
      </vt:variant>
      <vt:variant>
        <vt:i4>5</vt:i4>
      </vt:variant>
      <vt:variant>
        <vt:lpwstr>http://www.ethikkommissionen.at/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http://www.basg.at/</vt:lpwstr>
      </vt:variant>
      <vt:variant>
        <vt:lpwstr/>
      </vt:variant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http://eudravigilance.emea.europa.eu/human/SystemFailureSteps.asp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BASG / AGES PharmMed</dc:title>
  <dc:creator>thomas14</dc:creator>
  <cp:lastModifiedBy>Hofbauer Simone</cp:lastModifiedBy>
  <cp:revision>3</cp:revision>
  <cp:lastPrinted>2019-11-27T10:53:00Z</cp:lastPrinted>
  <dcterms:created xsi:type="dcterms:W3CDTF">2024-04-03T12:23:00Z</dcterms:created>
  <dcterms:modified xsi:type="dcterms:W3CDTF">2024-08-21T09:21:00Z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2024-04-03T12:01:43Z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3a7e09a8-585a-4cff-9679-3a80e4677fbb</vt:lpwstr>
  </property>
  <property fmtid="{D5CDD505-2E9C-101B-9397-08002B2CF9AE}" pid="8" name="MSIP_Label_0eea11ca-d417-4147-80ed-01a58412c458_ContentBits">
    <vt:lpwstr>2</vt:lpwstr>
  </property>
</Properties>
</file>