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AF" w:rsidRDefault="00F156AF" w:rsidP="007C5138"/>
    <w:p w:rsidR="009C122C" w:rsidRPr="004C5CF8" w:rsidRDefault="009C122C" w:rsidP="009C122C">
      <w:pPr>
        <w:jc w:val="both"/>
        <w:rPr>
          <w:rFonts w:cs="Tahoma"/>
          <w:b/>
          <w:sz w:val="24"/>
        </w:rPr>
      </w:pPr>
      <w:r w:rsidRPr="004C5CF8">
        <w:rPr>
          <w:rFonts w:cs="Tahoma"/>
          <w:b/>
          <w:sz w:val="24"/>
        </w:rPr>
        <w:t xml:space="preserve">Pre-Inspection-Package </w:t>
      </w:r>
    </w:p>
    <w:p w:rsidR="009C122C" w:rsidRDefault="009C122C" w:rsidP="009C122C">
      <w:pPr>
        <w:jc w:val="both"/>
        <w:rPr>
          <w:rFonts w:cs="Tahoma"/>
        </w:rPr>
      </w:pPr>
    </w:p>
    <w:p w:rsidR="009C122C" w:rsidRPr="004C5CF8" w:rsidRDefault="009C122C" w:rsidP="009C122C">
      <w:pPr>
        <w:jc w:val="both"/>
        <w:rPr>
          <w:rFonts w:cs="Tahoma"/>
          <w:sz w:val="22"/>
          <w:szCs w:val="22"/>
        </w:rPr>
      </w:pPr>
      <w:r w:rsidRPr="004C5CF8">
        <w:rPr>
          <w:rFonts w:cs="Tahoma"/>
          <w:sz w:val="22"/>
          <w:szCs w:val="22"/>
        </w:rPr>
        <w:t>Sehr geehrte Damen und Herren!</w:t>
      </w:r>
    </w:p>
    <w:p w:rsidR="009C122C" w:rsidRPr="004C5CF8" w:rsidRDefault="009C122C" w:rsidP="009C122C">
      <w:pPr>
        <w:jc w:val="both"/>
        <w:rPr>
          <w:rFonts w:cs="Tahoma"/>
          <w:sz w:val="22"/>
          <w:szCs w:val="22"/>
        </w:rPr>
      </w:pPr>
    </w:p>
    <w:p w:rsidR="009C122C" w:rsidRPr="004C5CF8" w:rsidRDefault="009C122C" w:rsidP="009C122C">
      <w:pPr>
        <w:jc w:val="both"/>
        <w:rPr>
          <w:rFonts w:cs="Tahoma"/>
          <w:sz w:val="22"/>
          <w:szCs w:val="22"/>
        </w:rPr>
      </w:pPr>
      <w:r w:rsidRPr="00934D5F">
        <w:rPr>
          <w:rFonts w:cs="Tahoma"/>
          <w:sz w:val="22"/>
          <w:szCs w:val="22"/>
        </w:rPr>
        <w:t>Ihr Betrieb ist</w:t>
      </w:r>
      <w:r w:rsidRPr="004C5CF8">
        <w:rPr>
          <w:rFonts w:cs="Tahoma"/>
          <w:sz w:val="22"/>
          <w:szCs w:val="22"/>
        </w:rPr>
        <w:t xml:space="preserve"> für eine Inspektion nach </w:t>
      </w:r>
      <w:r>
        <w:rPr>
          <w:rFonts w:cs="Tahoma"/>
          <w:sz w:val="22"/>
          <w:szCs w:val="22"/>
        </w:rPr>
        <w:t>Gewebesicherheits</w:t>
      </w:r>
      <w:r w:rsidRPr="004C5CF8">
        <w:rPr>
          <w:rFonts w:cs="Tahoma"/>
          <w:sz w:val="22"/>
          <w:szCs w:val="22"/>
        </w:rPr>
        <w:t xml:space="preserve">gesetz vorgemerkt. Zur Vorbereitung </w:t>
      </w:r>
      <w:r w:rsidRPr="00BC335A">
        <w:rPr>
          <w:rFonts w:cs="Tahoma"/>
          <w:sz w:val="22"/>
          <w:szCs w:val="22"/>
        </w:rPr>
        <w:t>erhalten sie diese Unterlagen,</w:t>
      </w:r>
      <w:r w:rsidRPr="004C5CF8">
        <w:rPr>
          <w:rFonts w:cs="Tahoma"/>
          <w:sz w:val="22"/>
          <w:szCs w:val="22"/>
        </w:rPr>
        <w:t xml:space="preserve"> welche Sie / Ihren Betrieb dabei unterstützen sollen, die geltenden rechtlichen Vorgaben einzuhalten und sich auf die Überprüfung durch das Institut </w:t>
      </w:r>
      <w:r>
        <w:rPr>
          <w:rFonts w:cs="Tahoma"/>
          <w:sz w:val="22"/>
          <w:szCs w:val="22"/>
        </w:rPr>
        <w:t>Überwachung</w:t>
      </w:r>
      <w:r w:rsidRPr="004C5CF8">
        <w:rPr>
          <w:rFonts w:cs="Tahoma"/>
          <w:sz w:val="22"/>
          <w:szCs w:val="22"/>
        </w:rPr>
        <w:t xml:space="preserve"> der </w:t>
      </w:r>
      <w:r>
        <w:rPr>
          <w:rFonts w:cs="Tahoma"/>
          <w:sz w:val="22"/>
          <w:szCs w:val="22"/>
        </w:rPr>
        <w:t>BASG/</w:t>
      </w:r>
      <w:r w:rsidRPr="004C5CF8">
        <w:rPr>
          <w:rFonts w:cs="Tahoma"/>
          <w:sz w:val="22"/>
          <w:szCs w:val="22"/>
        </w:rPr>
        <w:t>AGES vorzubereiten.</w:t>
      </w:r>
    </w:p>
    <w:p w:rsidR="009C122C" w:rsidRPr="004C5CF8" w:rsidRDefault="009C122C" w:rsidP="009C122C">
      <w:pPr>
        <w:jc w:val="both"/>
        <w:rPr>
          <w:rFonts w:cs="Tahoma"/>
          <w:sz w:val="22"/>
          <w:szCs w:val="22"/>
        </w:rPr>
      </w:pPr>
    </w:p>
    <w:p w:rsidR="009C122C" w:rsidRPr="004C5CF8" w:rsidRDefault="009C122C" w:rsidP="009C122C">
      <w:pPr>
        <w:jc w:val="both"/>
        <w:rPr>
          <w:rFonts w:cs="Tahoma"/>
          <w:sz w:val="22"/>
          <w:szCs w:val="22"/>
        </w:rPr>
      </w:pPr>
      <w:r w:rsidRPr="004C5CF8">
        <w:rPr>
          <w:rFonts w:cs="Tahoma"/>
          <w:sz w:val="22"/>
          <w:szCs w:val="22"/>
        </w:rPr>
        <w:t xml:space="preserve">Das Bundesamt für Sicherheit im Gesundheitswesen hat als eine seiner Hauptaufgaben für die Sicherheit der in Österreich in Verkehr gebrachten </w:t>
      </w:r>
      <w:r>
        <w:rPr>
          <w:rFonts w:cs="Tahoma"/>
          <w:sz w:val="22"/>
          <w:szCs w:val="22"/>
        </w:rPr>
        <w:t>menschlichen Zellen und Geweben</w:t>
      </w:r>
      <w:r w:rsidRPr="004C5CF8">
        <w:rPr>
          <w:rFonts w:cs="Tahoma"/>
          <w:sz w:val="22"/>
          <w:szCs w:val="22"/>
        </w:rPr>
        <w:t xml:space="preserve"> zu sorgen. Im Rahmen dieser Tätigkeit obliegt ihm auch die Überwachung aller österreichischen Be</w:t>
      </w:r>
      <w:r>
        <w:rPr>
          <w:rFonts w:cs="Tahoma"/>
          <w:sz w:val="22"/>
          <w:szCs w:val="22"/>
        </w:rPr>
        <w:t>t</w:t>
      </w:r>
      <w:r w:rsidRPr="004C5CF8">
        <w:rPr>
          <w:rFonts w:cs="Tahoma"/>
          <w:sz w:val="22"/>
          <w:szCs w:val="22"/>
        </w:rPr>
        <w:t xml:space="preserve">riebe die </w:t>
      </w:r>
      <w:r>
        <w:rPr>
          <w:rFonts w:cs="Tahoma"/>
          <w:sz w:val="22"/>
          <w:szCs w:val="22"/>
        </w:rPr>
        <w:t xml:space="preserve">Zellen bzw. Gewebe zur Verwendung am Menschen gewinnen, verarbeiten, lagern, </w:t>
      </w:r>
      <w:r w:rsidRPr="00634BD7">
        <w:rPr>
          <w:rFonts w:cs="Tahoma"/>
          <w:sz w:val="22"/>
          <w:szCs w:val="22"/>
        </w:rPr>
        <w:t>aus Drittstaaten einführen</w:t>
      </w:r>
      <w:r w:rsidRPr="00FC1351">
        <w:rPr>
          <w:rFonts w:cs="Tahoma"/>
          <w:sz w:val="22"/>
          <w:szCs w:val="22"/>
        </w:rPr>
        <w:t xml:space="preserve"> oder</w:t>
      </w:r>
      <w:r>
        <w:rPr>
          <w:rFonts w:cs="Tahoma"/>
          <w:sz w:val="22"/>
          <w:szCs w:val="22"/>
        </w:rPr>
        <w:t xml:space="preserve"> verteilen.</w:t>
      </w:r>
      <w:r w:rsidRPr="004C5CF8">
        <w:rPr>
          <w:rFonts w:cs="Tahoma"/>
          <w:sz w:val="22"/>
          <w:szCs w:val="22"/>
        </w:rPr>
        <w:t xml:space="preserve"> Mit der operativen Durchführung der Überwachung ist die österreichische Agentur für Gesundheit und Ernährungssicherheit beauftragt; die Legitimation dafür findet sich im </w:t>
      </w:r>
      <w:r>
        <w:rPr>
          <w:rFonts w:cs="Tahoma"/>
          <w:sz w:val="22"/>
          <w:szCs w:val="22"/>
        </w:rPr>
        <w:t>Gewebesicherheits</w:t>
      </w:r>
      <w:r w:rsidRPr="004C5CF8">
        <w:rPr>
          <w:rFonts w:cs="Tahoma"/>
          <w:sz w:val="22"/>
          <w:szCs w:val="22"/>
        </w:rPr>
        <w:t>gesetz</w:t>
      </w:r>
      <w:r w:rsidRPr="004C5CF8">
        <w:rPr>
          <w:rStyle w:val="Funotenzeichen"/>
          <w:rFonts w:cs="Tahoma"/>
          <w:sz w:val="22"/>
          <w:szCs w:val="22"/>
        </w:rPr>
        <w:footnoteReference w:id="1"/>
      </w:r>
      <w:r w:rsidRPr="004C5CF8">
        <w:rPr>
          <w:rFonts w:cs="Tahoma"/>
          <w:sz w:val="22"/>
          <w:szCs w:val="22"/>
        </w:rPr>
        <w:t>:</w:t>
      </w:r>
    </w:p>
    <w:p w:rsidR="009C122C" w:rsidRPr="004C5CF8" w:rsidRDefault="009C122C" w:rsidP="009C122C">
      <w:pPr>
        <w:jc w:val="both"/>
        <w:rPr>
          <w:rFonts w:cs="Tahoma"/>
          <w:sz w:val="22"/>
          <w:szCs w:val="22"/>
        </w:rPr>
      </w:pPr>
    </w:p>
    <w:p w:rsidR="009C122C" w:rsidRPr="00875020" w:rsidRDefault="009C122C" w:rsidP="009C122C">
      <w:pPr>
        <w:jc w:val="both"/>
        <w:rPr>
          <w:rFonts w:cs="Tahoma"/>
          <w:i/>
          <w:sz w:val="22"/>
          <w:szCs w:val="22"/>
        </w:rPr>
      </w:pPr>
      <w:r w:rsidRPr="00875020">
        <w:rPr>
          <w:rFonts w:cs="Tahoma"/>
          <w:i/>
          <w:sz w:val="22"/>
          <w:szCs w:val="22"/>
        </w:rPr>
        <w:t>"</w:t>
      </w:r>
      <w:r w:rsidRPr="00875020">
        <w:rPr>
          <w:rStyle w:val="991GldSymbol"/>
          <w:i/>
          <w:sz w:val="22"/>
          <w:szCs w:val="22"/>
        </w:rPr>
        <w:t>§ 26</w:t>
      </w:r>
      <w:r w:rsidRPr="00875020">
        <w:rPr>
          <w:i/>
          <w:sz w:val="22"/>
          <w:szCs w:val="22"/>
        </w:rPr>
        <w:t xml:space="preserve"> Abs. 1 Die Überwachung der Einhaltung dieses Bundesgesetzes durch Entnahmeeinrichtungen und durch Gewebebanken obliegt dem Bundesamt für Sicherheit im Gesundheitswesen. Die Inspektionen haben in regelmäßigen Abständen von nicht mehr als zwei Jahren stattzufinden.</w:t>
      </w:r>
      <w:bookmarkStart w:id="0" w:name="OLE_LINK1"/>
      <w:bookmarkStart w:id="1" w:name="OLE_LINK2"/>
      <w:r w:rsidRPr="00875020">
        <w:rPr>
          <w:rFonts w:cs="Tahoma"/>
          <w:i/>
          <w:sz w:val="22"/>
          <w:szCs w:val="22"/>
        </w:rPr>
        <w:t>"</w:t>
      </w:r>
      <w:bookmarkEnd w:id="0"/>
      <w:bookmarkEnd w:id="1"/>
    </w:p>
    <w:p w:rsidR="009C122C" w:rsidRPr="004C5CF8" w:rsidRDefault="009C122C" w:rsidP="009C122C">
      <w:pPr>
        <w:jc w:val="both"/>
        <w:rPr>
          <w:rFonts w:cs="Tahoma"/>
          <w:sz w:val="22"/>
          <w:szCs w:val="22"/>
        </w:rPr>
      </w:pPr>
    </w:p>
    <w:p w:rsidR="009C122C" w:rsidRPr="004C5CF8" w:rsidRDefault="009C122C" w:rsidP="009C122C">
      <w:pPr>
        <w:jc w:val="both"/>
        <w:rPr>
          <w:rFonts w:cs="Tahoma"/>
          <w:sz w:val="22"/>
          <w:szCs w:val="22"/>
        </w:rPr>
      </w:pPr>
      <w:r w:rsidRPr="004C5CF8">
        <w:rPr>
          <w:rFonts w:cs="Tahoma"/>
          <w:sz w:val="22"/>
          <w:szCs w:val="22"/>
        </w:rPr>
        <w:t xml:space="preserve">Das vorliegende </w:t>
      </w:r>
      <w:r>
        <w:rPr>
          <w:rFonts w:cs="Tahoma"/>
          <w:sz w:val="22"/>
          <w:szCs w:val="22"/>
        </w:rPr>
        <w:t>Dokument</w:t>
      </w:r>
      <w:r w:rsidRPr="004C5CF8">
        <w:rPr>
          <w:rFonts w:cs="Tahoma"/>
          <w:sz w:val="22"/>
          <w:szCs w:val="22"/>
        </w:rPr>
        <w:t xml:space="preserve"> enthält folgende Informationen:</w:t>
      </w:r>
    </w:p>
    <w:p w:rsidR="009C122C" w:rsidRPr="004C5CF8" w:rsidRDefault="009C122C" w:rsidP="009C122C">
      <w:pPr>
        <w:jc w:val="both"/>
        <w:rPr>
          <w:rFonts w:cs="Tahoma"/>
          <w:sz w:val="22"/>
          <w:szCs w:val="22"/>
        </w:rPr>
      </w:pPr>
    </w:p>
    <w:p w:rsidR="009C122C" w:rsidRPr="004C5CF8" w:rsidRDefault="009C122C" w:rsidP="009C122C">
      <w:pPr>
        <w:numPr>
          <w:ilvl w:val="0"/>
          <w:numId w:val="10"/>
        </w:numPr>
        <w:jc w:val="both"/>
        <w:rPr>
          <w:rFonts w:cs="Tahoma"/>
          <w:sz w:val="22"/>
          <w:szCs w:val="22"/>
        </w:rPr>
      </w:pPr>
      <w:r w:rsidRPr="004C5CF8">
        <w:rPr>
          <w:rFonts w:cs="Tahoma"/>
          <w:sz w:val="22"/>
          <w:szCs w:val="22"/>
        </w:rPr>
        <w:t>Übersicht bezüglich der jeweils geltenden Rechtsbasis</w:t>
      </w:r>
    </w:p>
    <w:p w:rsidR="009C122C" w:rsidRPr="004C5CF8" w:rsidRDefault="009C122C" w:rsidP="009C122C">
      <w:pPr>
        <w:numPr>
          <w:ilvl w:val="0"/>
          <w:numId w:val="10"/>
        </w:numPr>
        <w:jc w:val="both"/>
        <w:rPr>
          <w:rFonts w:cs="Tahoma"/>
          <w:sz w:val="22"/>
          <w:szCs w:val="22"/>
        </w:rPr>
      </w:pPr>
      <w:r w:rsidRPr="004C5CF8">
        <w:rPr>
          <w:rFonts w:cs="Tahoma"/>
          <w:sz w:val="22"/>
          <w:szCs w:val="22"/>
        </w:rPr>
        <w:t>Beschreibung des Ablaufs einer Inspektion</w:t>
      </w:r>
    </w:p>
    <w:p w:rsidR="009C122C" w:rsidRPr="004C5CF8" w:rsidRDefault="009C122C" w:rsidP="009C122C">
      <w:pPr>
        <w:jc w:val="both"/>
        <w:rPr>
          <w:rFonts w:cs="Tahoma"/>
          <w:sz w:val="22"/>
          <w:szCs w:val="22"/>
        </w:rPr>
      </w:pPr>
    </w:p>
    <w:p w:rsidR="009C122C" w:rsidRPr="004C5CF8" w:rsidRDefault="009C122C" w:rsidP="009C122C">
      <w:pPr>
        <w:jc w:val="both"/>
        <w:rPr>
          <w:rFonts w:cs="Tahoma"/>
          <w:sz w:val="22"/>
          <w:szCs w:val="22"/>
        </w:rPr>
      </w:pPr>
      <w:r w:rsidRPr="004C5CF8">
        <w:rPr>
          <w:rFonts w:cs="Tahoma"/>
          <w:sz w:val="22"/>
          <w:szCs w:val="22"/>
        </w:rPr>
        <w:t xml:space="preserve">Weiterführende Informationen </w:t>
      </w:r>
      <w:r w:rsidR="00FC1351">
        <w:rPr>
          <w:rFonts w:cs="Tahoma"/>
          <w:sz w:val="22"/>
          <w:szCs w:val="22"/>
        </w:rPr>
        <w:t xml:space="preserve">sowie Antworten zu „Häufig gestellten Fragen (FAQ)“ </w:t>
      </w:r>
      <w:r w:rsidRPr="004C5CF8">
        <w:rPr>
          <w:rFonts w:cs="Tahoma"/>
          <w:sz w:val="22"/>
          <w:szCs w:val="22"/>
        </w:rPr>
        <w:t xml:space="preserve">finden Sie online unter </w:t>
      </w:r>
      <w:r w:rsidR="00277F8F" w:rsidRPr="00277F8F">
        <w:rPr>
          <w:rFonts w:cs="Tahoma"/>
          <w:sz w:val="22"/>
          <w:szCs w:val="22"/>
        </w:rPr>
        <w:t>https://www.basg.gv.at/gesundheitsberufe/gewebesicherheit/zertifizierung-bewilligung-und-inspektion-von-gewebeeinrichtungen</w:t>
      </w:r>
    </w:p>
    <w:p w:rsidR="009C122C" w:rsidRPr="004C5CF8" w:rsidRDefault="009C122C" w:rsidP="009C122C">
      <w:pPr>
        <w:jc w:val="both"/>
        <w:rPr>
          <w:rFonts w:cs="Tahoma"/>
          <w:sz w:val="22"/>
          <w:szCs w:val="22"/>
        </w:rPr>
      </w:pPr>
    </w:p>
    <w:p w:rsidR="009C122C" w:rsidRPr="004C5CF8" w:rsidRDefault="009C122C" w:rsidP="009C122C">
      <w:pPr>
        <w:jc w:val="both"/>
        <w:rPr>
          <w:rFonts w:cs="Tahoma"/>
          <w:sz w:val="22"/>
          <w:szCs w:val="22"/>
        </w:rPr>
      </w:pPr>
      <w:r w:rsidRPr="004C5CF8">
        <w:rPr>
          <w:rFonts w:cs="Tahoma"/>
          <w:sz w:val="22"/>
          <w:szCs w:val="22"/>
        </w:rPr>
        <w:t xml:space="preserve">Fragen rund um dieses Informationsschreiben oder die </w:t>
      </w:r>
      <w:r w:rsidRPr="00FC1351">
        <w:rPr>
          <w:rFonts w:cs="Tahoma"/>
          <w:sz w:val="22"/>
          <w:szCs w:val="22"/>
        </w:rPr>
        <w:t>referenzierten Regularien</w:t>
      </w:r>
      <w:r w:rsidRPr="004C5CF8">
        <w:rPr>
          <w:rFonts w:cs="Tahoma"/>
          <w:sz w:val="22"/>
          <w:szCs w:val="22"/>
        </w:rPr>
        <w:t xml:space="preserve"> richten Sie bitte per E-Mail an </w:t>
      </w:r>
      <w:hyperlink r:id="rId7" w:history="1">
        <w:r w:rsidR="00277F8F" w:rsidRPr="00B8582E">
          <w:rPr>
            <w:rStyle w:val="Hyperlink"/>
            <w:rFonts w:cs="Tahoma"/>
            <w:szCs w:val="20"/>
          </w:rPr>
          <w:t>inspektionen@basg.gv.at</w:t>
        </w:r>
      </w:hyperlink>
      <w:r w:rsidR="00277F8F">
        <w:rPr>
          <w:rStyle w:val="Hyperlink"/>
          <w:rFonts w:cs="Tahoma"/>
          <w:szCs w:val="20"/>
        </w:rPr>
        <w:t xml:space="preserve"> </w:t>
      </w:r>
      <w:r w:rsidRPr="004C5CF8">
        <w:rPr>
          <w:rFonts w:cs="Tahoma"/>
          <w:sz w:val="22"/>
          <w:szCs w:val="22"/>
        </w:rPr>
        <w:t xml:space="preserve"> bzw. sind wir telefonisch unter +43 50 555 364</w:t>
      </w:r>
      <w:r>
        <w:rPr>
          <w:rFonts w:cs="Tahoma"/>
          <w:sz w:val="22"/>
          <w:szCs w:val="22"/>
        </w:rPr>
        <w:t>35</w:t>
      </w:r>
      <w:r w:rsidRPr="004C5CF8">
        <w:rPr>
          <w:rFonts w:cs="Tahoma"/>
          <w:sz w:val="22"/>
          <w:szCs w:val="22"/>
        </w:rPr>
        <w:t xml:space="preserve"> erreichbar.</w:t>
      </w:r>
    </w:p>
    <w:p w:rsidR="009C122C" w:rsidRDefault="009C122C" w:rsidP="009C122C">
      <w:pPr>
        <w:jc w:val="both"/>
        <w:rPr>
          <w:rFonts w:cs="Tahoma"/>
          <w:sz w:val="22"/>
          <w:szCs w:val="22"/>
        </w:rPr>
      </w:pPr>
    </w:p>
    <w:p w:rsidR="009C122C" w:rsidRDefault="009C122C" w:rsidP="009C122C">
      <w:pPr>
        <w:jc w:val="both"/>
        <w:rPr>
          <w:rFonts w:cs="Tahoma"/>
          <w:sz w:val="24"/>
        </w:rPr>
      </w:pPr>
    </w:p>
    <w:p w:rsidR="00277F8F" w:rsidRDefault="00277F8F">
      <w:pPr>
        <w:rPr>
          <w:rFonts w:cs="Tahoma"/>
          <w:b/>
          <w:sz w:val="24"/>
        </w:rPr>
      </w:pPr>
      <w:r>
        <w:rPr>
          <w:rFonts w:cs="Tahoma"/>
          <w:b/>
          <w:sz w:val="24"/>
        </w:rPr>
        <w:br w:type="page"/>
      </w:r>
      <w:bookmarkStart w:id="2" w:name="_GoBack"/>
      <w:bookmarkEnd w:id="2"/>
    </w:p>
    <w:p w:rsidR="009C122C" w:rsidRPr="004C5CF8" w:rsidRDefault="00FC1351" w:rsidP="009C122C">
      <w:pPr>
        <w:jc w:val="both"/>
        <w:rPr>
          <w:rFonts w:cs="Tahoma"/>
          <w:sz w:val="24"/>
        </w:rPr>
      </w:pPr>
      <w:r>
        <w:rPr>
          <w:rFonts w:cs="Tahoma"/>
          <w:b/>
          <w:sz w:val="24"/>
        </w:rPr>
        <w:lastRenderedPageBreak/>
        <w:t>1</w:t>
      </w:r>
      <w:r w:rsidR="009C122C">
        <w:rPr>
          <w:rFonts w:cs="Tahoma"/>
          <w:b/>
          <w:sz w:val="24"/>
        </w:rPr>
        <w:t xml:space="preserve">) </w:t>
      </w:r>
      <w:r w:rsidR="009C122C" w:rsidRPr="004C5CF8">
        <w:rPr>
          <w:rFonts w:cs="Tahoma"/>
          <w:b/>
          <w:sz w:val="24"/>
        </w:rPr>
        <w:t>Anzuwendende Rechtsgrundlagen</w:t>
      </w:r>
    </w:p>
    <w:p w:rsidR="009C122C" w:rsidRDefault="009C122C" w:rsidP="009C122C">
      <w:pPr>
        <w:jc w:val="both"/>
        <w:rPr>
          <w:rFonts w:cs="Tahoma"/>
          <w:sz w:val="24"/>
        </w:rPr>
      </w:pPr>
    </w:p>
    <w:p w:rsidR="009C122C" w:rsidRPr="004C5CF8" w:rsidRDefault="009C122C" w:rsidP="009C122C">
      <w:pPr>
        <w:jc w:val="both"/>
        <w:rPr>
          <w:rFonts w:cs="Tahoma"/>
          <w:sz w:val="22"/>
          <w:szCs w:val="22"/>
        </w:rPr>
      </w:pPr>
      <w:r w:rsidRPr="004C5CF8">
        <w:rPr>
          <w:rFonts w:cs="Tahoma"/>
          <w:sz w:val="22"/>
          <w:szCs w:val="22"/>
        </w:rPr>
        <w:t>Soweit im Inspektionsbericht auf Rechtsgrundlagen verwiesen wird, sind diese in ihrer zum Zeitpunkt der Inspektion bzw. zum Zeitpunkt des Finalberichtes jeweils geltenden Fassung zu verstehen</w:t>
      </w:r>
      <w:r>
        <w:rPr>
          <w:rFonts w:cs="Tahoma"/>
          <w:sz w:val="22"/>
          <w:szCs w:val="22"/>
        </w:rPr>
        <w:t xml:space="preserve"> (</w:t>
      </w:r>
      <w:hyperlink r:id="rId8" w:history="1">
        <w:r w:rsidRPr="002E5F9E">
          <w:rPr>
            <w:rStyle w:val="Hyperlink"/>
            <w:rFonts w:cs="Tahoma"/>
            <w:sz w:val="22"/>
            <w:szCs w:val="22"/>
          </w:rPr>
          <w:t>http://www.ris.bka.gv.at/</w:t>
        </w:r>
      </w:hyperlink>
      <w:r>
        <w:rPr>
          <w:rFonts w:cs="Tahoma"/>
          <w:sz w:val="22"/>
          <w:szCs w:val="22"/>
        </w:rPr>
        <w:t>)</w:t>
      </w:r>
      <w:r w:rsidRPr="004C5CF8">
        <w:rPr>
          <w:rFonts w:cs="Tahoma"/>
          <w:sz w:val="22"/>
          <w:szCs w:val="22"/>
        </w:rPr>
        <w:t>:</w:t>
      </w:r>
    </w:p>
    <w:p w:rsidR="009C122C" w:rsidRPr="004C5CF8" w:rsidRDefault="009C122C" w:rsidP="009C122C">
      <w:pPr>
        <w:jc w:val="both"/>
        <w:rPr>
          <w:rFonts w:cs="Tahoma"/>
          <w:sz w:val="22"/>
          <w:szCs w:val="22"/>
        </w:rPr>
      </w:pPr>
    </w:p>
    <w:p w:rsidR="009C122C" w:rsidRPr="00A23A31" w:rsidRDefault="009C122C" w:rsidP="009C122C">
      <w:pPr>
        <w:numPr>
          <w:ilvl w:val="1"/>
          <w:numId w:val="11"/>
        </w:numPr>
        <w:tabs>
          <w:tab w:val="clear" w:pos="1440"/>
        </w:tabs>
        <w:spacing w:after="120"/>
        <w:ind w:left="1134" w:hanging="357"/>
        <w:rPr>
          <w:rFonts w:cs="Tahoma"/>
          <w:sz w:val="22"/>
          <w:szCs w:val="22"/>
        </w:rPr>
      </w:pPr>
      <w:r>
        <w:rPr>
          <w:rFonts w:cs="Tahoma"/>
          <w:sz w:val="22"/>
          <w:szCs w:val="22"/>
        </w:rPr>
        <w:t xml:space="preserve">GSG, </w:t>
      </w:r>
      <w:r w:rsidRPr="00A23A31">
        <w:rPr>
          <w:rFonts w:cs="Tahoma"/>
          <w:sz w:val="22"/>
          <w:szCs w:val="22"/>
        </w:rPr>
        <w:t>Gewebesicherheitsgesetz, BGBl. I Nr. 49/200</w:t>
      </w:r>
      <w:r>
        <w:rPr>
          <w:rFonts w:cs="Tahoma"/>
          <w:sz w:val="22"/>
          <w:szCs w:val="22"/>
        </w:rPr>
        <w:t>8</w:t>
      </w:r>
    </w:p>
    <w:p w:rsidR="009C122C" w:rsidRPr="007A6A35" w:rsidRDefault="009C122C" w:rsidP="009C122C">
      <w:pPr>
        <w:numPr>
          <w:ilvl w:val="1"/>
          <w:numId w:val="11"/>
        </w:numPr>
        <w:tabs>
          <w:tab w:val="clear" w:pos="1440"/>
        </w:tabs>
        <w:spacing w:before="60" w:after="120"/>
        <w:ind w:left="1134" w:hanging="357"/>
        <w:rPr>
          <w:rFonts w:cs="Tahoma"/>
          <w:sz w:val="22"/>
          <w:szCs w:val="22"/>
        </w:rPr>
      </w:pPr>
      <w:r w:rsidRPr="007A6A35">
        <w:rPr>
          <w:rFonts w:cs="Tahoma"/>
          <w:sz w:val="22"/>
          <w:szCs w:val="22"/>
        </w:rPr>
        <w:t>GBVO, Gewebebankenverordnung, BGBl. II Nr. 192/2008</w:t>
      </w:r>
    </w:p>
    <w:p w:rsidR="009C122C" w:rsidRPr="007A6A35" w:rsidRDefault="009C122C" w:rsidP="009C122C">
      <w:pPr>
        <w:numPr>
          <w:ilvl w:val="1"/>
          <w:numId w:val="11"/>
        </w:numPr>
        <w:tabs>
          <w:tab w:val="clear" w:pos="1440"/>
        </w:tabs>
        <w:spacing w:before="60" w:after="120"/>
        <w:ind w:left="1134" w:hanging="357"/>
        <w:rPr>
          <w:rFonts w:cs="Tahoma"/>
          <w:sz w:val="22"/>
          <w:szCs w:val="22"/>
        </w:rPr>
      </w:pPr>
      <w:r w:rsidRPr="007A6A35">
        <w:rPr>
          <w:rFonts w:cs="Tahoma"/>
          <w:sz w:val="22"/>
          <w:szCs w:val="22"/>
        </w:rPr>
        <w:t>GEEVO, Gewebeentnahmeeinrichtungsverordnung, BGBl. II Nr. 191/2008</w:t>
      </w:r>
    </w:p>
    <w:p w:rsidR="009C122C" w:rsidRPr="007A6A35" w:rsidRDefault="009C122C" w:rsidP="009C122C">
      <w:pPr>
        <w:numPr>
          <w:ilvl w:val="1"/>
          <w:numId w:val="11"/>
        </w:numPr>
        <w:tabs>
          <w:tab w:val="clear" w:pos="1440"/>
        </w:tabs>
        <w:spacing w:before="60" w:after="120"/>
        <w:ind w:left="1134" w:hanging="357"/>
        <w:rPr>
          <w:rFonts w:cs="Tahoma"/>
          <w:sz w:val="22"/>
          <w:szCs w:val="22"/>
        </w:rPr>
      </w:pPr>
      <w:r w:rsidRPr="007A6A35">
        <w:rPr>
          <w:rFonts w:cs="Tahoma"/>
          <w:sz w:val="22"/>
          <w:szCs w:val="22"/>
        </w:rPr>
        <w:t xml:space="preserve">GVVO, Gewebevigilanzverordnung, BGBl. II Nr. 190/2008 </w:t>
      </w:r>
    </w:p>
    <w:p w:rsidR="009C122C" w:rsidRDefault="009C122C" w:rsidP="009C122C">
      <w:pPr>
        <w:numPr>
          <w:ilvl w:val="1"/>
          <w:numId w:val="11"/>
        </w:numPr>
        <w:tabs>
          <w:tab w:val="clear" w:pos="1440"/>
        </w:tabs>
        <w:spacing w:before="60"/>
        <w:ind w:left="1134"/>
        <w:rPr>
          <w:rFonts w:cs="Tahoma"/>
          <w:sz w:val="22"/>
          <w:szCs w:val="22"/>
        </w:rPr>
      </w:pPr>
      <w:r w:rsidRPr="001A6F4C">
        <w:rPr>
          <w:rFonts w:cs="Tahoma"/>
          <w:sz w:val="22"/>
          <w:szCs w:val="22"/>
        </w:rPr>
        <w:t xml:space="preserve">Annex 1 des </w:t>
      </w:r>
      <w:r>
        <w:rPr>
          <w:rFonts w:cs="Tahoma"/>
          <w:sz w:val="22"/>
          <w:szCs w:val="22"/>
        </w:rPr>
        <w:t>EU-GMP-Leitfadens</w:t>
      </w:r>
    </w:p>
    <w:p w:rsidR="009C122C" w:rsidRDefault="009C122C" w:rsidP="009C122C">
      <w:pPr>
        <w:jc w:val="both"/>
        <w:rPr>
          <w:rFonts w:cs="Tahoma"/>
          <w:sz w:val="22"/>
          <w:szCs w:val="22"/>
        </w:rPr>
      </w:pPr>
    </w:p>
    <w:p w:rsidR="009C122C" w:rsidRDefault="009C122C" w:rsidP="009C122C">
      <w:pPr>
        <w:jc w:val="both"/>
        <w:rPr>
          <w:rFonts w:cs="Tahoma"/>
          <w:sz w:val="24"/>
        </w:rPr>
      </w:pPr>
    </w:p>
    <w:p w:rsidR="009C122C" w:rsidRPr="004C5CF8" w:rsidRDefault="00FC1351" w:rsidP="009C122C">
      <w:pPr>
        <w:jc w:val="both"/>
        <w:rPr>
          <w:rFonts w:cs="Tahoma"/>
          <w:b/>
          <w:sz w:val="24"/>
        </w:rPr>
      </w:pPr>
      <w:r>
        <w:rPr>
          <w:rFonts w:cs="Tahoma"/>
          <w:b/>
          <w:sz w:val="24"/>
        </w:rPr>
        <w:t>2</w:t>
      </w:r>
      <w:r w:rsidR="009C122C">
        <w:rPr>
          <w:rFonts w:cs="Tahoma"/>
          <w:b/>
          <w:sz w:val="24"/>
        </w:rPr>
        <w:t xml:space="preserve">) </w:t>
      </w:r>
      <w:r w:rsidR="009C122C" w:rsidRPr="004C5CF8">
        <w:rPr>
          <w:rFonts w:cs="Tahoma"/>
          <w:b/>
          <w:sz w:val="24"/>
        </w:rPr>
        <w:t xml:space="preserve">Ablauf von </w:t>
      </w:r>
      <w:r w:rsidR="009C122C">
        <w:rPr>
          <w:rFonts w:cs="Tahoma"/>
          <w:b/>
          <w:sz w:val="24"/>
        </w:rPr>
        <w:t>GSG</w:t>
      </w:r>
      <w:r w:rsidR="009C122C" w:rsidRPr="004C5CF8">
        <w:rPr>
          <w:rFonts w:cs="Tahoma"/>
          <w:b/>
          <w:sz w:val="24"/>
        </w:rPr>
        <w:t>-Inspektionen:</w:t>
      </w:r>
    </w:p>
    <w:p w:rsidR="009C122C" w:rsidRDefault="009C122C" w:rsidP="009C122C">
      <w:pPr>
        <w:jc w:val="both"/>
        <w:rPr>
          <w:rFonts w:cs="Tahoma"/>
          <w:sz w:val="24"/>
        </w:rPr>
      </w:pPr>
    </w:p>
    <w:p w:rsidR="009C122C" w:rsidRPr="004C5CF8" w:rsidRDefault="009C122C" w:rsidP="009C122C">
      <w:pPr>
        <w:numPr>
          <w:ilvl w:val="0"/>
          <w:numId w:val="12"/>
        </w:numPr>
        <w:jc w:val="both"/>
        <w:rPr>
          <w:rFonts w:cs="Tahoma"/>
          <w:sz w:val="22"/>
          <w:szCs w:val="22"/>
        </w:rPr>
      </w:pPr>
      <w:r w:rsidRPr="004C5CF8">
        <w:rPr>
          <w:rFonts w:cs="Tahoma"/>
          <w:sz w:val="22"/>
          <w:szCs w:val="22"/>
        </w:rPr>
        <w:t xml:space="preserve">Nach Auftragserfassung wird zunächst geprüft, ob die jeweils </w:t>
      </w:r>
      <w:r w:rsidRPr="006970E4">
        <w:rPr>
          <w:rFonts w:cs="Tahoma"/>
          <w:sz w:val="22"/>
          <w:szCs w:val="22"/>
          <w:u w:val="single"/>
        </w:rPr>
        <w:t>notwendigen Unterlagen vollständig zur Verfügung</w:t>
      </w:r>
      <w:r w:rsidRPr="004C5CF8">
        <w:rPr>
          <w:rFonts w:cs="Tahoma"/>
          <w:sz w:val="22"/>
          <w:szCs w:val="22"/>
        </w:rPr>
        <w:t xml:space="preserve"> stehen. Bei fehlender oder mangelhafter Dokumentation ergeht ein Verbesserungsauftrag; ganz allgemein orientiert sich der Verfahrensablauf am Allgemeinen Verwaltungsverfahrensgesetz (AVG</w:t>
      </w:r>
      <w:r w:rsidR="00277F8F">
        <w:rPr>
          <w:rStyle w:val="Funotenzeichen"/>
          <w:rFonts w:cs="Tahoma"/>
          <w:sz w:val="22"/>
          <w:szCs w:val="22"/>
        </w:rPr>
        <w:footnoteReference w:id="2"/>
      </w:r>
      <w:r w:rsidRPr="004C5CF8">
        <w:rPr>
          <w:rFonts w:cs="Tahoma"/>
          <w:sz w:val="22"/>
          <w:szCs w:val="22"/>
        </w:rPr>
        <w:t>).</w:t>
      </w:r>
    </w:p>
    <w:p w:rsidR="009C122C" w:rsidRPr="004C5CF8" w:rsidRDefault="009C122C" w:rsidP="009C122C">
      <w:pPr>
        <w:jc w:val="both"/>
        <w:rPr>
          <w:rFonts w:cs="Tahoma"/>
          <w:sz w:val="22"/>
          <w:szCs w:val="22"/>
        </w:rPr>
      </w:pPr>
    </w:p>
    <w:p w:rsidR="009C122C" w:rsidRPr="004C5CF8" w:rsidRDefault="009C122C" w:rsidP="009C122C">
      <w:pPr>
        <w:numPr>
          <w:ilvl w:val="1"/>
          <w:numId w:val="12"/>
        </w:numPr>
        <w:tabs>
          <w:tab w:val="clear" w:pos="1440"/>
          <w:tab w:val="num" w:pos="426"/>
        </w:tabs>
        <w:ind w:left="709"/>
        <w:jc w:val="both"/>
        <w:rPr>
          <w:rFonts w:cs="Tahoma"/>
          <w:sz w:val="22"/>
          <w:szCs w:val="22"/>
        </w:rPr>
      </w:pPr>
      <w:r w:rsidRPr="004C5CF8">
        <w:rPr>
          <w:rFonts w:cs="Tahoma"/>
          <w:sz w:val="22"/>
          <w:szCs w:val="22"/>
        </w:rPr>
        <w:t>Sobald die Informationen vollständig vorliegen</w:t>
      </w:r>
      <w:r>
        <w:rPr>
          <w:rFonts w:cs="Tahoma"/>
          <w:sz w:val="22"/>
          <w:szCs w:val="22"/>
        </w:rPr>
        <w:t>,</w:t>
      </w:r>
      <w:r w:rsidRPr="004C5CF8">
        <w:rPr>
          <w:rFonts w:cs="Tahoma"/>
          <w:sz w:val="22"/>
          <w:szCs w:val="22"/>
        </w:rPr>
        <w:t xml:space="preserve"> tritt die/der zuständige InspektorIn an das zu überprüfende Unternehmen heran, um einen entsprechenden </w:t>
      </w:r>
      <w:r w:rsidRPr="006970E4">
        <w:rPr>
          <w:rFonts w:cs="Tahoma"/>
          <w:sz w:val="22"/>
          <w:szCs w:val="22"/>
          <w:u w:val="single"/>
        </w:rPr>
        <w:t>Termin für die Inspektion</w:t>
      </w:r>
      <w:r w:rsidRPr="004C5CF8">
        <w:rPr>
          <w:rFonts w:cs="Tahoma"/>
          <w:sz w:val="22"/>
          <w:szCs w:val="22"/>
        </w:rPr>
        <w:t xml:space="preserve"> zu vereinbaren. Selbstverständlich wird hier im Rahmen der Möglichkeiten auf die Wünsche des Unternehmens eingegangen, auch an den Inspektionstagen richtet sich das Inspektionsteam an den unternehmensüblichen Arbeitszeiten aus.</w:t>
      </w:r>
    </w:p>
    <w:p w:rsidR="009C122C" w:rsidRPr="004C5CF8" w:rsidRDefault="009C122C" w:rsidP="009C122C">
      <w:pPr>
        <w:jc w:val="both"/>
        <w:rPr>
          <w:rFonts w:cs="Tahoma"/>
          <w:sz w:val="22"/>
          <w:szCs w:val="22"/>
        </w:rPr>
      </w:pPr>
    </w:p>
    <w:p w:rsidR="009C122C" w:rsidRPr="004C5CF8" w:rsidRDefault="009C122C" w:rsidP="009C122C">
      <w:pPr>
        <w:numPr>
          <w:ilvl w:val="0"/>
          <w:numId w:val="12"/>
        </w:numPr>
        <w:jc w:val="both"/>
        <w:rPr>
          <w:rFonts w:cs="Tahoma"/>
          <w:sz w:val="22"/>
          <w:szCs w:val="22"/>
        </w:rPr>
      </w:pPr>
      <w:r w:rsidRPr="004C5CF8">
        <w:rPr>
          <w:rFonts w:cs="Tahoma"/>
          <w:sz w:val="22"/>
          <w:szCs w:val="22"/>
        </w:rPr>
        <w:t xml:space="preserve">Eine </w:t>
      </w:r>
      <w:r w:rsidRPr="006970E4">
        <w:rPr>
          <w:rFonts w:cs="Tahoma"/>
          <w:sz w:val="22"/>
          <w:szCs w:val="22"/>
          <w:u w:val="single"/>
        </w:rPr>
        <w:t>schriftliche Inspektionsankündigung</w:t>
      </w:r>
      <w:r w:rsidRPr="004C5CF8">
        <w:rPr>
          <w:rFonts w:cs="Tahoma"/>
          <w:sz w:val="22"/>
          <w:szCs w:val="22"/>
        </w:rPr>
        <w:t xml:space="preserve"> enthält eine grobe Agenda, sollten noch spezielle Dokumente zur Inspektionsvorbereitung erforderlich sein, wird dies auch an dieser Stelle mitgeteilt.</w:t>
      </w:r>
    </w:p>
    <w:p w:rsidR="009C122C" w:rsidRPr="004C5CF8" w:rsidRDefault="009C122C" w:rsidP="009C122C">
      <w:pPr>
        <w:jc w:val="both"/>
        <w:rPr>
          <w:rFonts w:cs="Tahoma"/>
          <w:sz w:val="22"/>
          <w:szCs w:val="22"/>
        </w:rPr>
      </w:pPr>
    </w:p>
    <w:p w:rsidR="009C122C" w:rsidRPr="004C5CF8" w:rsidRDefault="009C122C" w:rsidP="009C122C">
      <w:pPr>
        <w:numPr>
          <w:ilvl w:val="0"/>
          <w:numId w:val="12"/>
        </w:numPr>
        <w:jc w:val="both"/>
        <w:rPr>
          <w:rFonts w:cs="Tahoma"/>
          <w:sz w:val="22"/>
          <w:szCs w:val="22"/>
        </w:rPr>
      </w:pPr>
      <w:r w:rsidRPr="004C5CF8">
        <w:rPr>
          <w:rFonts w:cs="Tahoma"/>
          <w:sz w:val="22"/>
          <w:szCs w:val="22"/>
        </w:rPr>
        <w:t xml:space="preserve">Die </w:t>
      </w:r>
      <w:r w:rsidRPr="006970E4">
        <w:rPr>
          <w:rFonts w:cs="Tahoma"/>
          <w:sz w:val="22"/>
          <w:szCs w:val="22"/>
          <w:u w:val="single"/>
        </w:rPr>
        <w:t>Inspektion</w:t>
      </w:r>
      <w:r w:rsidRPr="004C5CF8">
        <w:rPr>
          <w:rFonts w:cs="Tahoma"/>
          <w:sz w:val="22"/>
          <w:szCs w:val="22"/>
        </w:rPr>
        <w:t xml:space="preserve"> selbst beginnt mit einem Eröffnungsgespräch an dem neben dem Inspektionsteam auch üblicherweise das Management (Geschäftsführung) und Schlüsselpersonal teilnehmen. Nach der Begrüßung erfolgt die Vorstellung der Inspektionsteilnehmer. Im Zuge der Eröffnung wird die geplante Agenda konsolidiert, eventuelle kurzfristige Änderungen können hier noch einfließen. Ziel und Umfang der Inspektion werden klargelegt.</w:t>
      </w:r>
    </w:p>
    <w:p w:rsidR="009C122C" w:rsidRPr="004C5CF8" w:rsidRDefault="009C122C" w:rsidP="009C122C">
      <w:pPr>
        <w:jc w:val="both"/>
        <w:rPr>
          <w:rFonts w:cs="Tahoma"/>
          <w:sz w:val="22"/>
          <w:szCs w:val="22"/>
        </w:rPr>
      </w:pPr>
    </w:p>
    <w:p w:rsidR="009C122C" w:rsidRDefault="009C122C" w:rsidP="009C122C">
      <w:pPr>
        <w:numPr>
          <w:ilvl w:val="0"/>
          <w:numId w:val="12"/>
        </w:numPr>
        <w:jc w:val="both"/>
        <w:rPr>
          <w:rFonts w:cs="Tahoma"/>
          <w:sz w:val="22"/>
          <w:szCs w:val="22"/>
        </w:rPr>
      </w:pPr>
      <w:r w:rsidRPr="004C5CF8">
        <w:rPr>
          <w:rFonts w:cs="Tahoma"/>
          <w:sz w:val="22"/>
          <w:szCs w:val="22"/>
        </w:rPr>
        <w:t xml:space="preserve">Im Anschluss erfolgt die </w:t>
      </w:r>
      <w:r w:rsidRPr="006970E4">
        <w:rPr>
          <w:rFonts w:cs="Tahoma"/>
          <w:sz w:val="22"/>
          <w:szCs w:val="22"/>
          <w:u w:val="single"/>
        </w:rPr>
        <w:t>Vorstellung des zu überprüfenden Betriebes</w:t>
      </w:r>
      <w:r w:rsidRPr="004C5CF8">
        <w:rPr>
          <w:rFonts w:cs="Tahoma"/>
          <w:sz w:val="22"/>
          <w:szCs w:val="22"/>
        </w:rPr>
        <w:t xml:space="preserve">, an dessen Ende meist die Vorstellung des Qualitätssicherungssystems steht, das dann bereits meist den Einstieg in die eigentliche Inspektion darstellt. Nach </w:t>
      </w:r>
      <w:r w:rsidRPr="006970E4">
        <w:rPr>
          <w:rFonts w:cs="Tahoma"/>
          <w:sz w:val="22"/>
          <w:szCs w:val="22"/>
          <w:u w:val="single"/>
        </w:rPr>
        <w:t>Sichtung erster Dokumente</w:t>
      </w:r>
      <w:r w:rsidRPr="004C5CF8">
        <w:rPr>
          <w:rFonts w:cs="Tahoma"/>
          <w:sz w:val="22"/>
          <w:szCs w:val="22"/>
        </w:rPr>
        <w:t xml:space="preserve"> wird sich das Inspektionsteam auf den </w:t>
      </w:r>
      <w:r w:rsidRPr="006970E4">
        <w:rPr>
          <w:rFonts w:cs="Tahoma"/>
          <w:sz w:val="22"/>
          <w:szCs w:val="22"/>
          <w:u w:val="single"/>
        </w:rPr>
        <w:t>Rundgang durch die Betriebsstätte</w:t>
      </w:r>
      <w:r w:rsidRPr="004C5CF8">
        <w:rPr>
          <w:rFonts w:cs="Tahoma"/>
          <w:sz w:val="22"/>
          <w:szCs w:val="22"/>
        </w:rPr>
        <w:t xml:space="preserve"> begeben (so </w:t>
      </w:r>
      <w:r w:rsidRPr="004C5CF8">
        <w:rPr>
          <w:rFonts w:cs="Tahoma"/>
          <w:sz w:val="22"/>
          <w:szCs w:val="22"/>
        </w:rPr>
        <w:lastRenderedPageBreak/>
        <w:t>vorhanden). In den meisten Fällen erfolgt nach dem Rundgang eine weitere Prüfung von relevanten Dokumenten.</w:t>
      </w:r>
    </w:p>
    <w:p w:rsidR="009C122C" w:rsidRPr="004C5CF8" w:rsidRDefault="009C122C" w:rsidP="009C122C">
      <w:pPr>
        <w:tabs>
          <w:tab w:val="left" w:pos="426"/>
        </w:tabs>
        <w:jc w:val="both"/>
        <w:rPr>
          <w:rFonts w:cs="Tahoma"/>
          <w:sz w:val="22"/>
          <w:szCs w:val="22"/>
        </w:rPr>
      </w:pPr>
      <w:r>
        <w:rPr>
          <w:rFonts w:cs="Tahoma"/>
          <w:sz w:val="22"/>
          <w:szCs w:val="22"/>
        </w:rPr>
        <w:tab/>
      </w:r>
      <w:r>
        <w:rPr>
          <w:rFonts w:cs="Tahoma"/>
          <w:sz w:val="22"/>
          <w:szCs w:val="22"/>
        </w:rPr>
        <w:tab/>
      </w:r>
      <w:r w:rsidRPr="004C5CF8">
        <w:rPr>
          <w:rFonts w:cs="Tahoma"/>
          <w:sz w:val="22"/>
          <w:szCs w:val="22"/>
        </w:rPr>
        <w:t xml:space="preserve">Es wird jedenfalls auf die Gegebenheiten jedes einzelnen Betriebes eingegangen, das </w:t>
      </w:r>
      <w:r>
        <w:rPr>
          <w:rFonts w:cs="Tahoma"/>
          <w:sz w:val="22"/>
          <w:szCs w:val="22"/>
        </w:rPr>
        <w:t xml:space="preserve">  </w:t>
      </w:r>
      <w:r>
        <w:rPr>
          <w:rFonts w:cs="Tahoma"/>
          <w:sz w:val="22"/>
          <w:szCs w:val="22"/>
        </w:rPr>
        <w:tab/>
      </w:r>
      <w:r>
        <w:rPr>
          <w:rFonts w:cs="Tahoma"/>
          <w:sz w:val="22"/>
          <w:szCs w:val="22"/>
        </w:rPr>
        <w:tab/>
      </w:r>
      <w:r>
        <w:rPr>
          <w:rFonts w:cs="Tahoma"/>
          <w:sz w:val="22"/>
          <w:szCs w:val="22"/>
        </w:rPr>
        <w:tab/>
      </w:r>
      <w:r w:rsidRPr="004C5CF8">
        <w:rPr>
          <w:rFonts w:cs="Tahoma"/>
          <w:sz w:val="22"/>
          <w:szCs w:val="22"/>
        </w:rPr>
        <w:t>Inspektionsteam orientiert sich dabei an den jeweiligen betriebsspezifischen Abläufen.</w:t>
      </w:r>
    </w:p>
    <w:p w:rsidR="009C122C" w:rsidRPr="004C5CF8" w:rsidRDefault="009C122C" w:rsidP="009C122C">
      <w:pPr>
        <w:jc w:val="both"/>
        <w:rPr>
          <w:rFonts w:cs="Tahoma"/>
          <w:sz w:val="22"/>
          <w:szCs w:val="22"/>
        </w:rPr>
      </w:pPr>
    </w:p>
    <w:p w:rsidR="00277F8F" w:rsidRPr="006970E4" w:rsidRDefault="009C122C" w:rsidP="006970E4">
      <w:pPr>
        <w:ind w:left="708"/>
        <w:jc w:val="both"/>
        <w:rPr>
          <w:rFonts w:cs="Tahoma"/>
          <w:sz w:val="22"/>
          <w:szCs w:val="22"/>
        </w:rPr>
      </w:pPr>
      <w:r w:rsidRPr="00F63603">
        <w:rPr>
          <w:rFonts w:cs="Tahoma"/>
          <w:sz w:val="22"/>
          <w:szCs w:val="22"/>
        </w:rPr>
        <w:t xml:space="preserve">Am Tages- bzw. </w:t>
      </w:r>
      <w:r w:rsidRPr="006970E4">
        <w:rPr>
          <w:rFonts w:cs="Tahoma"/>
          <w:sz w:val="22"/>
          <w:szCs w:val="22"/>
          <w:u w:val="single"/>
        </w:rPr>
        <w:t>Inspektionsende</w:t>
      </w:r>
      <w:r w:rsidRPr="00F63603">
        <w:rPr>
          <w:rFonts w:cs="Tahoma"/>
          <w:sz w:val="22"/>
          <w:szCs w:val="22"/>
        </w:rPr>
        <w:t xml:space="preserve"> zieht sich das Inspektionsteam zurück, um sich über eventuell festgestellte Mängel abzustimmen. In einer nachfolgenden </w:t>
      </w:r>
      <w:r w:rsidRPr="006970E4">
        <w:rPr>
          <w:rFonts w:cs="Tahoma"/>
          <w:sz w:val="22"/>
          <w:szCs w:val="22"/>
          <w:u w:val="single"/>
        </w:rPr>
        <w:t>Abschlussbesprechung</w:t>
      </w:r>
      <w:r w:rsidRPr="00F63603">
        <w:rPr>
          <w:rFonts w:cs="Tahoma"/>
          <w:sz w:val="22"/>
          <w:szCs w:val="22"/>
        </w:rPr>
        <w:t xml:space="preserve"> fasst der Inspektionsleiter die Beobachtungen für Management und Schlüsselpersonal zusammen und erörtert die weitere Vorgangsweise. </w:t>
      </w:r>
      <w:r w:rsidR="00277F8F" w:rsidRPr="006970E4">
        <w:rPr>
          <w:rFonts w:cs="Tahoma"/>
          <w:sz w:val="22"/>
          <w:szCs w:val="22"/>
        </w:rPr>
        <w:t>Sämtliche während der Inspektion aufgetretenen Mängel werden wäh</w:t>
      </w:r>
      <w:r w:rsidR="00277F8F" w:rsidRPr="006970E4">
        <w:rPr>
          <w:rFonts w:cs="Tahoma"/>
          <w:sz w:val="22"/>
          <w:szCs w:val="22"/>
        </w:rPr>
        <w:softHyphen/>
        <w:t xml:space="preserve">rend der Abschlussbesprechung angesprochen und vorklassifiziert. Die Klassifizierung vor Ort ist ein Aviso, das im Anschluss an die Inspektion auch schriftlich ergeht. </w:t>
      </w:r>
    </w:p>
    <w:p w:rsidR="00277F8F" w:rsidRDefault="00277F8F" w:rsidP="009C122C">
      <w:pPr>
        <w:ind w:left="720"/>
        <w:jc w:val="both"/>
        <w:rPr>
          <w:rFonts w:cs="Tahoma"/>
          <w:sz w:val="22"/>
          <w:szCs w:val="22"/>
        </w:rPr>
      </w:pPr>
    </w:p>
    <w:p w:rsidR="00277F8F" w:rsidRPr="006970E4" w:rsidRDefault="00277F8F" w:rsidP="006970E4">
      <w:pPr>
        <w:ind w:left="708"/>
        <w:jc w:val="both"/>
        <w:rPr>
          <w:rFonts w:cs="Tahoma"/>
          <w:sz w:val="22"/>
          <w:szCs w:val="22"/>
        </w:rPr>
      </w:pPr>
      <w:r w:rsidRPr="006970E4">
        <w:rPr>
          <w:rFonts w:cs="Tahoma"/>
          <w:sz w:val="22"/>
          <w:szCs w:val="22"/>
        </w:rPr>
        <w:t>Die Beobachtungen und Abweichungen werden in einem Inspektionsbericht fest</w:t>
      </w:r>
      <w:r w:rsidRPr="006970E4">
        <w:rPr>
          <w:rFonts w:cs="Tahoma"/>
          <w:sz w:val="22"/>
          <w:szCs w:val="22"/>
        </w:rPr>
        <w:softHyphen/>
        <w:t>gehalten, dessen Erstfassung wird dem inspizierten Unternehmen zum Parteiengehör (AVG) zur Kenntnis gebracht. Hier hat der Betrieb einerseits die Möglichkeit, seine Sichtweise kundzutun, sollte diese von der des Inspektionsteams abweichen. Anderer</w:t>
      </w:r>
      <w:r w:rsidRPr="006970E4">
        <w:rPr>
          <w:rFonts w:cs="Tahoma"/>
          <w:sz w:val="22"/>
          <w:szCs w:val="22"/>
        </w:rPr>
        <w:softHyphen/>
        <w:t xml:space="preserve">seits ist das Unternehmen aufgefordert, zu diesem Zeitpunkt einen entsprechenden Maßnahmenplan inklusive Zeitlinie vorzulegen, wie etwaig vorhandene Mängel behoben werden. Dies ist entsprechend zu dokumentieren. </w:t>
      </w:r>
    </w:p>
    <w:p w:rsidR="009C122C" w:rsidRPr="00F63603" w:rsidRDefault="009C122C" w:rsidP="009C122C">
      <w:pPr>
        <w:ind w:left="720"/>
        <w:jc w:val="both"/>
        <w:rPr>
          <w:rFonts w:cs="Tahoma"/>
          <w:sz w:val="22"/>
          <w:szCs w:val="22"/>
        </w:rPr>
      </w:pPr>
    </w:p>
    <w:p w:rsidR="009C122C" w:rsidRPr="004C5CF8" w:rsidRDefault="009C122C" w:rsidP="006970E4">
      <w:pPr>
        <w:ind w:left="708"/>
        <w:jc w:val="both"/>
        <w:rPr>
          <w:sz w:val="22"/>
          <w:szCs w:val="22"/>
        </w:rPr>
      </w:pPr>
      <w:r w:rsidRPr="0016524D">
        <w:rPr>
          <w:rFonts w:cs="Tahoma"/>
          <w:sz w:val="22"/>
          <w:szCs w:val="22"/>
        </w:rPr>
        <w:t xml:space="preserve">Nach Einarbeitung und </w:t>
      </w:r>
      <w:r w:rsidRPr="006970E4">
        <w:rPr>
          <w:rFonts w:cs="Tahoma"/>
          <w:sz w:val="22"/>
          <w:szCs w:val="22"/>
          <w:u w:val="single"/>
        </w:rPr>
        <w:t>Bewertung der Stellungnahme</w:t>
      </w:r>
      <w:r w:rsidRPr="0042286D">
        <w:rPr>
          <w:rFonts w:cs="Tahoma"/>
          <w:sz w:val="22"/>
          <w:szCs w:val="22"/>
        </w:rPr>
        <w:t xml:space="preserve"> </w:t>
      </w:r>
      <w:r w:rsidRPr="0016524D">
        <w:rPr>
          <w:rFonts w:cs="Tahoma"/>
          <w:sz w:val="22"/>
          <w:szCs w:val="22"/>
        </w:rPr>
        <w:t xml:space="preserve">des Betriebes wird durch die Inspektionsleitung ein </w:t>
      </w:r>
      <w:r>
        <w:rPr>
          <w:rFonts w:cs="Tahoma"/>
          <w:sz w:val="22"/>
          <w:szCs w:val="22"/>
        </w:rPr>
        <w:t>Final</w:t>
      </w:r>
      <w:r w:rsidRPr="0016524D">
        <w:rPr>
          <w:rFonts w:cs="Tahoma"/>
          <w:sz w:val="22"/>
          <w:szCs w:val="22"/>
        </w:rPr>
        <w:t xml:space="preserve">bericht erstellt. Ein </w:t>
      </w:r>
      <w:r w:rsidRPr="006970E4">
        <w:rPr>
          <w:rFonts w:cs="Tahoma"/>
          <w:sz w:val="22"/>
          <w:szCs w:val="22"/>
          <w:u w:val="single"/>
        </w:rPr>
        <w:t>allfälliges Zertifikat und / oder Bewilligung per Bescheid ergehen zusammen mit dem Finalbericht</w:t>
      </w:r>
      <w:r w:rsidRPr="0016524D">
        <w:rPr>
          <w:rFonts w:cs="Tahoma"/>
          <w:sz w:val="22"/>
          <w:szCs w:val="22"/>
        </w:rPr>
        <w:t xml:space="preserve"> zur Durchsicht an das Bundesamt für Sicherheit im Gesundheitswesen. Das Verfahren ist abgeschlossen (AVG). </w:t>
      </w:r>
      <w:r>
        <w:rPr>
          <w:rFonts w:cs="Tahoma"/>
          <w:sz w:val="22"/>
          <w:szCs w:val="22"/>
        </w:rPr>
        <w:t>H</w:t>
      </w:r>
      <w:r w:rsidRPr="0016524D">
        <w:rPr>
          <w:rFonts w:cs="Tahoma"/>
          <w:sz w:val="22"/>
          <w:szCs w:val="22"/>
        </w:rPr>
        <w:t xml:space="preserve">ier erfolgt die Erledigung innerhalb von max. sechs Wochen. </w:t>
      </w:r>
    </w:p>
    <w:p w:rsidR="00F156AF" w:rsidRPr="00F156AF" w:rsidRDefault="00F156AF" w:rsidP="00F156AF"/>
    <w:p w:rsidR="00277F8F" w:rsidRPr="006970E4" w:rsidRDefault="00277F8F" w:rsidP="006970E4">
      <w:pPr>
        <w:ind w:firstLine="708"/>
        <w:jc w:val="both"/>
        <w:rPr>
          <w:rFonts w:cs="Tahoma"/>
          <w:sz w:val="22"/>
          <w:szCs w:val="20"/>
        </w:rPr>
      </w:pPr>
      <w:r w:rsidRPr="006970E4">
        <w:rPr>
          <w:rFonts w:cs="Tahoma"/>
          <w:sz w:val="22"/>
          <w:szCs w:val="20"/>
        </w:rPr>
        <w:t>Das Verfahren ist abgeschlossen (AVG).</w:t>
      </w:r>
    </w:p>
    <w:p w:rsidR="00BF39F6" w:rsidRPr="00F156AF" w:rsidRDefault="00BF39F6" w:rsidP="00F156AF">
      <w:pPr>
        <w:tabs>
          <w:tab w:val="left" w:pos="5887"/>
        </w:tabs>
      </w:pPr>
    </w:p>
    <w:sectPr w:rsidR="00BF39F6" w:rsidRPr="00F156AF" w:rsidSect="00BF39F6">
      <w:headerReference w:type="default" r:id="rId9"/>
      <w:footerReference w:type="default" r:id="rId10"/>
      <w:headerReference w:type="first" r:id="rId11"/>
      <w:footerReference w:type="first" r:id="rId12"/>
      <w:type w:val="continuous"/>
      <w:pgSz w:w="11906" w:h="16838"/>
      <w:pgMar w:top="2268" w:right="1134" w:bottom="1702" w:left="1418" w:header="737" w:footer="45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E4F" w:rsidRDefault="005C2E4F">
      <w:r>
        <w:separator/>
      </w:r>
    </w:p>
  </w:endnote>
  <w:endnote w:type="continuationSeparator" w:id="0">
    <w:p w:rsidR="005C2E4F" w:rsidRDefault="005C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3154"/>
      <w:gridCol w:w="3155"/>
      <w:gridCol w:w="2163"/>
      <w:gridCol w:w="283"/>
      <w:gridCol w:w="709"/>
    </w:tblGrid>
    <w:tr w:rsidR="00BA69A6" w:rsidTr="00BA69A6">
      <w:tc>
        <w:tcPr>
          <w:tcW w:w="8755" w:type="dxa"/>
          <w:gridSpan w:val="4"/>
        </w:tcPr>
        <w:p w:rsidR="00BA69A6" w:rsidRPr="00C91DCF" w:rsidRDefault="00BA69A6" w:rsidP="00A92CAA">
          <w:pPr>
            <w:pStyle w:val="Fuzeile"/>
            <w:rPr>
              <w:b/>
              <w:sz w:val="14"/>
            </w:rPr>
          </w:pPr>
        </w:p>
      </w:tc>
      <w:tc>
        <w:tcPr>
          <w:tcW w:w="709" w:type="dxa"/>
          <w:vMerge w:val="restart"/>
        </w:tcPr>
        <w:p w:rsidR="00BA69A6" w:rsidRPr="009E0C5B" w:rsidRDefault="00BA69A6" w:rsidP="00A92CAA">
          <w:pPr>
            <w:pStyle w:val="Fuzeile"/>
            <w:jc w:val="center"/>
          </w:pPr>
        </w:p>
      </w:tc>
    </w:tr>
    <w:tr w:rsidR="00BA69A6" w:rsidRPr="00CA4C75" w:rsidTr="00BA69A6">
      <w:tc>
        <w:tcPr>
          <w:tcW w:w="8755" w:type="dxa"/>
          <w:gridSpan w:val="4"/>
        </w:tcPr>
        <w:p w:rsidR="00BA69A6" w:rsidRPr="00CA4C75" w:rsidRDefault="00BA69A6" w:rsidP="00A92CAA">
          <w:pPr>
            <w:pStyle w:val="Fuzeile"/>
            <w:rPr>
              <w:sz w:val="14"/>
              <w:lang w:val="fr-FR"/>
            </w:rPr>
          </w:pPr>
        </w:p>
      </w:tc>
      <w:tc>
        <w:tcPr>
          <w:tcW w:w="709" w:type="dxa"/>
          <w:vMerge/>
        </w:tcPr>
        <w:p w:rsidR="00BA69A6" w:rsidRPr="00CA4C75" w:rsidRDefault="00BA69A6" w:rsidP="00A92CAA">
          <w:pPr>
            <w:pStyle w:val="Fuzeile"/>
            <w:jc w:val="center"/>
            <w:rPr>
              <w:lang w:val="fr-FR"/>
            </w:rPr>
          </w:pPr>
        </w:p>
      </w:tc>
    </w:tr>
    <w:tr w:rsidR="00BA69A6" w:rsidRPr="00B64713" w:rsidTr="00BA69A6">
      <w:tc>
        <w:tcPr>
          <w:tcW w:w="8755" w:type="dxa"/>
          <w:gridSpan w:val="4"/>
        </w:tcPr>
        <w:p w:rsidR="00BA69A6" w:rsidRPr="00463E0D" w:rsidRDefault="00BA69A6" w:rsidP="00A92CAA">
          <w:pPr>
            <w:pStyle w:val="Fuzeile"/>
            <w:rPr>
              <w:sz w:val="14"/>
              <w:lang w:val="en-GB"/>
            </w:rPr>
          </w:pPr>
        </w:p>
      </w:tc>
      <w:tc>
        <w:tcPr>
          <w:tcW w:w="709" w:type="dxa"/>
          <w:vMerge/>
        </w:tcPr>
        <w:p w:rsidR="00BA69A6" w:rsidRPr="00463E0D" w:rsidRDefault="00BA69A6" w:rsidP="00A92CAA">
          <w:pPr>
            <w:pStyle w:val="Fuzeile"/>
            <w:jc w:val="center"/>
            <w:rPr>
              <w:lang w:val="en-GB"/>
            </w:rPr>
          </w:pPr>
        </w:p>
      </w:tc>
    </w:tr>
    <w:tr w:rsidR="009A6732" w:rsidRPr="00BA69A6" w:rsidTr="00BA69A6">
      <w:tc>
        <w:tcPr>
          <w:tcW w:w="8472" w:type="dxa"/>
          <w:gridSpan w:val="3"/>
        </w:tcPr>
        <w:p w:rsidR="009A6732" w:rsidRPr="009A6732" w:rsidRDefault="009A6732" w:rsidP="00660832">
          <w:pPr>
            <w:pStyle w:val="Fuzeile"/>
            <w:rPr>
              <w:sz w:val="14"/>
              <w:lang w:val="en-US"/>
            </w:rPr>
          </w:pPr>
        </w:p>
      </w:tc>
      <w:tc>
        <w:tcPr>
          <w:tcW w:w="992" w:type="dxa"/>
          <w:gridSpan w:val="2"/>
          <w:vMerge w:val="restart"/>
          <w:shd w:val="clear" w:color="auto" w:fill="auto"/>
        </w:tcPr>
        <w:p w:rsidR="009A6732" w:rsidRPr="00841B04" w:rsidRDefault="009A6732" w:rsidP="002C2E10">
          <w:pPr>
            <w:pStyle w:val="Fuzeile"/>
            <w:jc w:val="center"/>
            <w:rPr>
              <w:lang w:val="en-GB"/>
            </w:rPr>
          </w:pPr>
        </w:p>
      </w:tc>
    </w:tr>
    <w:tr w:rsidR="0011004E" w:rsidRPr="00BA69A6" w:rsidTr="00BA69A6">
      <w:trPr>
        <w:trHeight w:val="56"/>
      </w:trPr>
      <w:tc>
        <w:tcPr>
          <w:tcW w:w="8472" w:type="dxa"/>
          <w:gridSpan w:val="3"/>
        </w:tcPr>
        <w:p w:rsidR="0011004E" w:rsidRPr="00841B04" w:rsidRDefault="0011004E" w:rsidP="002C2E10">
          <w:pPr>
            <w:pStyle w:val="Fuzeile"/>
            <w:rPr>
              <w:sz w:val="2"/>
              <w:lang w:val="en-GB"/>
            </w:rPr>
          </w:pPr>
        </w:p>
      </w:tc>
      <w:tc>
        <w:tcPr>
          <w:tcW w:w="992" w:type="dxa"/>
          <w:gridSpan w:val="2"/>
          <w:vMerge/>
          <w:shd w:val="clear" w:color="auto" w:fill="auto"/>
        </w:tcPr>
        <w:p w:rsidR="0011004E" w:rsidRPr="00291241" w:rsidRDefault="0011004E" w:rsidP="002C2E10">
          <w:pPr>
            <w:pStyle w:val="Fuzeile"/>
            <w:jc w:val="center"/>
            <w:rPr>
              <w:rStyle w:val="Seitenzahl"/>
              <w:lang w:val="en-GB"/>
            </w:rPr>
          </w:pPr>
        </w:p>
      </w:tc>
    </w:tr>
    <w:tr w:rsidR="0011004E" w:rsidTr="00CB3533">
      <w:trPr>
        <w:trHeight w:val="70"/>
      </w:trPr>
      <w:tc>
        <w:tcPr>
          <w:tcW w:w="3154" w:type="dxa"/>
        </w:tcPr>
        <w:p w:rsidR="0011004E" w:rsidRPr="00CB3533" w:rsidRDefault="009C122C" w:rsidP="003074AE">
          <w:pPr>
            <w:pStyle w:val="Fuzeile"/>
            <w:rPr>
              <w:sz w:val="14"/>
            </w:rPr>
          </w:pPr>
          <w:r w:rsidRPr="00DE20E4">
            <w:rPr>
              <w:sz w:val="14"/>
            </w:rPr>
            <w:t>L_INS_VIE_BTVI_I105_0</w:t>
          </w:r>
          <w:r w:rsidR="00A52C0C">
            <w:rPr>
              <w:sz w:val="14"/>
            </w:rPr>
            <w:t>5</w:t>
          </w:r>
        </w:p>
      </w:tc>
      <w:tc>
        <w:tcPr>
          <w:tcW w:w="3155" w:type="dxa"/>
        </w:tcPr>
        <w:p w:rsidR="0011004E" w:rsidRPr="00CB3533" w:rsidRDefault="0011004E" w:rsidP="006970E4">
          <w:pPr>
            <w:pStyle w:val="Fuzeile"/>
            <w:ind w:right="-102"/>
            <w:jc w:val="center"/>
            <w:rPr>
              <w:sz w:val="14"/>
            </w:rPr>
          </w:pPr>
          <w:r w:rsidRPr="00CB3533">
            <w:rPr>
              <w:sz w:val="14"/>
            </w:rPr>
            <w:t xml:space="preserve">Gültig ab: </w:t>
          </w:r>
          <w:r w:rsidR="006970E4">
            <w:rPr>
              <w:sz w:val="14"/>
            </w:rPr>
            <w:t>30.08.2022</w:t>
          </w:r>
        </w:p>
      </w:tc>
      <w:tc>
        <w:tcPr>
          <w:tcW w:w="3155" w:type="dxa"/>
          <w:gridSpan w:val="3"/>
          <w:shd w:val="clear" w:color="auto" w:fill="auto"/>
        </w:tcPr>
        <w:p w:rsidR="0011004E" w:rsidRPr="00C91DCF" w:rsidRDefault="0011004E" w:rsidP="002C2E10">
          <w:pPr>
            <w:pStyle w:val="Fuzeile"/>
            <w:jc w:val="right"/>
            <w:rPr>
              <w:sz w:val="14"/>
            </w:rPr>
          </w:pPr>
          <w:r w:rsidRPr="00CB3533">
            <w:rPr>
              <w:rStyle w:val="Seitenzahl"/>
              <w:sz w:val="14"/>
            </w:rPr>
            <w:fldChar w:fldCharType="begin"/>
          </w:r>
          <w:r w:rsidRPr="00CB3533">
            <w:rPr>
              <w:rStyle w:val="Seitenzahl"/>
              <w:sz w:val="14"/>
            </w:rPr>
            <w:instrText xml:space="preserve"> PAGE </w:instrText>
          </w:r>
          <w:r w:rsidRPr="00CB3533">
            <w:rPr>
              <w:rStyle w:val="Seitenzahl"/>
              <w:sz w:val="14"/>
            </w:rPr>
            <w:fldChar w:fldCharType="separate"/>
          </w:r>
          <w:r w:rsidR="006970E4">
            <w:rPr>
              <w:rStyle w:val="Seitenzahl"/>
              <w:noProof/>
              <w:sz w:val="14"/>
            </w:rPr>
            <w:t>3</w:t>
          </w:r>
          <w:r w:rsidRPr="00CB3533">
            <w:rPr>
              <w:rStyle w:val="Seitenzahl"/>
              <w:sz w:val="14"/>
            </w:rPr>
            <w:fldChar w:fldCharType="end"/>
          </w:r>
          <w:r w:rsidRPr="00CB3533">
            <w:rPr>
              <w:rStyle w:val="Seitenzahl"/>
              <w:sz w:val="14"/>
            </w:rPr>
            <w:t xml:space="preserve"> von </w:t>
          </w:r>
          <w:r w:rsidRPr="00CB3533">
            <w:rPr>
              <w:rStyle w:val="Seitenzahl"/>
              <w:sz w:val="14"/>
            </w:rPr>
            <w:fldChar w:fldCharType="begin"/>
          </w:r>
          <w:r w:rsidRPr="00CB3533">
            <w:rPr>
              <w:rStyle w:val="Seitenzahl"/>
              <w:sz w:val="14"/>
            </w:rPr>
            <w:instrText xml:space="preserve"> NUMPAGES </w:instrText>
          </w:r>
          <w:r w:rsidRPr="00CB3533">
            <w:rPr>
              <w:rStyle w:val="Seitenzahl"/>
              <w:sz w:val="14"/>
            </w:rPr>
            <w:fldChar w:fldCharType="separate"/>
          </w:r>
          <w:r w:rsidR="006970E4">
            <w:rPr>
              <w:rStyle w:val="Seitenzahl"/>
              <w:noProof/>
              <w:sz w:val="14"/>
            </w:rPr>
            <w:t>3</w:t>
          </w:r>
          <w:r w:rsidRPr="00CB3533">
            <w:rPr>
              <w:rStyle w:val="Seitenzahl"/>
              <w:sz w:val="14"/>
            </w:rPr>
            <w:fldChar w:fldCharType="end"/>
          </w:r>
        </w:p>
      </w:tc>
    </w:tr>
  </w:tbl>
  <w:p w:rsidR="0011004E" w:rsidRPr="00C62D18" w:rsidRDefault="0011004E" w:rsidP="008D6504">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3249"/>
      <w:gridCol w:w="3249"/>
      <w:gridCol w:w="2682"/>
      <w:gridCol w:w="709"/>
    </w:tblGrid>
    <w:tr w:rsidR="0011004E">
      <w:tc>
        <w:tcPr>
          <w:tcW w:w="9180" w:type="dxa"/>
          <w:gridSpan w:val="3"/>
        </w:tcPr>
        <w:p w:rsidR="0011004E" w:rsidRPr="00C91DCF" w:rsidRDefault="0011004E">
          <w:pPr>
            <w:pStyle w:val="Fuzeile"/>
            <w:rPr>
              <w:b/>
              <w:sz w:val="14"/>
            </w:rPr>
          </w:pPr>
          <w:r w:rsidRPr="00C91DCF">
            <w:rPr>
              <w:b/>
              <w:sz w:val="14"/>
            </w:rPr>
            <w:t>Österreichische Agentur für Gesundheit und Ernährungssicherheit GmbH</w:t>
          </w:r>
        </w:p>
      </w:tc>
      <w:tc>
        <w:tcPr>
          <w:tcW w:w="709" w:type="dxa"/>
          <w:vMerge w:val="restart"/>
          <w:shd w:val="clear" w:color="auto" w:fill="auto"/>
        </w:tcPr>
        <w:p w:rsidR="0011004E" w:rsidRPr="009E0C5B" w:rsidRDefault="001A13B1" w:rsidP="00235130">
          <w:pPr>
            <w:pStyle w:val="Fuzeile"/>
            <w:jc w:val="right"/>
          </w:pPr>
          <w:r>
            <w:rPr>
              <w:noProof/>
            </w:rPr>
            <w:drawing>
              <wp:anchor distT="0" distB="0" distL="114300" distR="114300" simplePos="0" relativeHeight="251659264" behindDoc="0" locked="0" layoutInCell="1" allowOverlap="1" wp14:anchorId="01791C6E" wp14:editId="1E444BA1">
                <wp:simplePos x="0" y="0"/>
                <wp:positionH relativeFrom="column">
                  <wp:posOffset>0</wp:posOffset>
                </wp:positionH>
                <wp:positionV relativeFrom="paragraph">
                  <wp:posOffset>3810</wp:posOffset>
                </wp:positionV>
                <wp:extent cx="360680" cy="410210"/>
                <wp:effectExtent l="0" t="0" r="1270" b="8890"/>
                <wp:wrapNone/>
                <wp:docPr id="14" name="Bild 13" descr="zbundesadle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zbundesadler-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680" cy="4102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004E">
      <w:tc>
        <w:tcPr>
          <w:tcW w:w="9180" w:type="dxa"/>
          <w:gridSpan w:val="3"/>
        </w:tcPr>
        <w:p w:rsidR="0011004E" w:rsidRPr="00C91DCF" w:rsidRDefault="0011004E">
          <w:pPr>
            <w:pStyle w:val="Fuzeile"/>
            <w:rPr>
              <w:sz w:val="14"/>
            </w:rPr>
          </w:pPr>
          <w:r w:rsidRPr="00C91DCF">
            <w:rPr>
              <w:sz w:val="14"/>
            </w:rPr>
            <w:t>Spargelfeldstraße 191 l A-1220 Wien l www.ages.at</w:t>
          </w:r>
        </w:p>
      </w:tc>
      <w:tc>
        <w:tcPr>
          <w:tcW w:w="709" w:type="dxa"/>
          <w:vMerge/>
          <w:shd w:val="clear" w:color="auto" w:fill="auto"/>
        </w:tcPr>
        <w:p w:rsidR="0011004E" w:rsidRDefault="0011004E">
          <w:pPr>
            <w:pStyle w:val="Fuzeile"/>
          </w:pPr>
        </w:p>
      </w:tc>
    </w:tr>
    <w:tr w:rsidR="0011004E">
      <w:tc>
        <w:tcPr>
          <w:tcW w:w="9180" w:type="dxa"/>
          <w:gridSpan w:val="3"/>
        </w:tcPr>
        <w:p w:rsidR="0011004E" w:rsidRPr="00C91DCF" w:rsidRDefault="0011004E">
          <w:pPr>
            <w:pStyle w:val="Fuzeile"/>
            <w:rPr>
              <w:sz w:val="14"/>
            </w:rPr>
          </w:pPr>
          <w:r w:rsidRPr="00C91DCF">
            <w:rPr>
              <w:sz w:val="14"/>
            </w:rPr>
            <w:t>DVR: 0014541 l Registergericht: Handelsgericht Wien l Firmenbuch: FN 223056z</w:t>
          </w:r>
        </w:p>
      </w:tc>
      <w:tc>
        <w:tcPr>
          <w:tcW w:w="709" w:type="dxa"/>
          <w:vMerge/>
          <w:shd w:val="clear" w:color="auto" w:fill="auto"/>
        </w:tcPr>
        <w:p w:rsidR="0011004E" w:rsidRDefault="0011004E">
          <w:pPr>
            <w:pStyle w:val="Fuzeile"/>
          </w:pPr>
        </w:p>
      </w:tc>
    </w:tr>
    <w:tr w:rsidR="0011004E" w:rsidRPr="00D35CE9">
      <w:tc>
        <w:tcPr>
          <w:tcW w:w="9180" w:type="dxa"/>
          <w:gridSpan w:val="3"/>
        </w:tcPr>
        <w:p w:rsidR="0011004E" w:rsidRPr="00841B04" w:rsidRDefault="0011004E">
          <w:pPr>
            <w:pStyle w:val="Fuzeile"/>
            <w:rPr>
              <w:sz w:val="14"/>
              <w:lang w:val="en-GB"/>
            </w:rPr>
          </w:pPr>
          <w:r w:rsidRPr="00841B04">
            <w:rPr>
              <w:sz w:val="14"/>
              <w:lang w:val="en-GB"/>
            </w:rPr>
            <w:t>Konto Nr.: 96.006.506 l BLZ: 60000 l IBAN: AT586000000096006506 l UID: ATU 54088605</w:t>
          </w:r>
        </w:p>
      </w:tc>
      <w:tc>
        <w:tcPr>
          <w:tcW w:w="709" w:type="dxa"/>
          <w:vMerge/>
          <w:shd w:val="clear" w:color="auto" w:fill="auto"/>
        </w:tcPr>
        <w:p w:rsidR="0011004E" w:rsidRPr="00841B04" w:rsidRDefault="0011004E">
          <w:pPr>
            <w:pStyle w:val="Fuzeile"/>
            <w:rPr>
              <w:lang w:val="en-GB"/>
            </w:rPr>
          </w:pPr>
        </w:p>
      </w:tc>
    </w:tr>
    <w:tr w:rsidR="0011004E" w:rsidRPr="00D35CE9">
      <w:trPr>
        <w:trHeight w:val="56"/>
      </w:trPr>
      <w:tc>
        <w:tcPr>
          <w:tcW w:w="9180" w:type="dxa"/>
          <w:gridSpan w:val="3"/>
        </w:tcPr>
        <w:p w:rsidR="0011004E" w:rsidRPr="00841B04" w:rsidRDefault="0011004E">
          <w:pPr>
            <w:pStyle w:val="Fuzeile"/>
            <w:rPr>
              <w:sz w:val="2"/>
              <w:lang w:val="en-GB"/>
            </w:rPr>
          </w:pPr>
        </w:p>
      </w:tc>
      <w:tc>
        <w:tcPr>
          <w:tcW w:w="709" w:type="dxa"/>
          <w:vMerge/>
          <w:shd w:val="clear" w:color="auto" w:fill="auto"/>
        </w:tcPr>
        <w:p w:rsidR="0011004E" w:rsidRPr="00970CD0" w:rsidRDefault="0011004E" w:rsidP="00235130">
          <w:pPr>
            <w:pStyle w:val="Fuzeile"/>
            <w:jc w:val="right"/>
            <w:rPr>
              <w:rStyle w:val="Seitenzahl"/>
              <w:lang w:val="en-GB"/>
            </w:rPr>
          </w:pPr>
        </w:p>
      </w:tc>
    </w:tr>
    <w:tr w:rsidR="0011004E">
      <w:trPr>
        <w:trHeight w:val="70"/>
      </w:trPr>
      <w:tc>
        <w:tcPr>
          <w:tcW w:w="3249" w:type="dxa"/>
        </w:tcPr>
        <w:p w:rsidR="0011004E" w:rsidRPr="00C91DCF" w:rsidRDefault="0011004E">
          <w:pPr>
            <w:pStyle w:val="Fuzeile"/>
            <w:rPr>
              <w:sz w:val="14"/>
            </w:rPr>
          </w:pPr>
          <w:r w:rsidRPr="00C91DCF">
            <w:rPr>
              <w:sz w:val="14"/>
            </w:rPr>
            <w:t>QM-Zeile</w:t>
          </w:r>
        </w:p>
      </w:tc>
      <w:tc>
        <w:tcPr>
          <w:tcW w:w="3249" w:type="dxa"/>
        </w:tcPr>
        <w:p w:rsidR="0011004E" w:rsidRPr="00C91DCF" w:rsidRDefault="0011004E" w:rsidP="00235130">
          <w:pPr>
            <w:pStyle w:val="Fuzeile"/>
            <w:ind w:right="-102"/>
            <w:jc w:val="center"/>
            <w:rPr>
              <w:sz w:val="14"/>
            </w:rPr>
          </w:pPr>
          <w:r w:rsidRPr="00C91DCF">
            <w:rPr>
              <w:sz w:val="14"/>
            </w:rPr>
            <w:t>Gültig ab:</w:t>
          </w:r>
          <w:r>
            <w:rPr>
              <w:sz w:val="14"/>
            </w:rPr>
            <w:t xml:space="preserve"> 01.01.09</w:t>
          </w:r>
        </w:p>
      </w:tc>
      <w:tc>
        <w:tcPr>
          <w:tcW w:w="3391" w:type="dxa"/>
          <w:gridSpan w:val="2"/>
          <w:shd w:val="clear" w:color="auto" w:fill="auto"/>
        </w:tcPr>
        <w:p w:rsidR="0011004E" w:rsidRPr="00C91DCF" w:rsidRDefault="0011004E" w:rsidP="00235130">
          <w:pPr>
            <w:pStyle w:val="Fuzeile"/>
            <w:jc w:val="right"/>
            <w:rPr>
              <w:sz w:val="14"/>
            </w:rPr>
          </w:pPr>
          <w:r w:rsidRPr="00C91DCF">
            <w:rPr>
              <w:rStyle w:val="Seitenzahl"/>
              <w:sz w:val="14"/>
            </w:rPr>
            <w:fldChar w:fldCharType="begin"/>
          </w:r>
          <w:r w:rsidRPr="00C91DCF">
            <w:rPr>
              <w:rStyle w:val="Seitenzahl"/>
              <w:sz w:val="14"/>
            </w:rPr>
            <w:instrText xml:space="preserve"> </w:instrText>
          </w:r>
          <w:r>
            <w:rPr>
              <w:rStyle w:val="Seitenzahl"/>
              <w:sz w:val="14"/>
            </w:rPr>
            <w:instrText>PAGE</w:instrText>
          </w:r>
          <w:r w:rsidRPr="00C91DCF">
            <w:rPr>
              <w:rStyle w:val="Seitenzahl"/>
              <w:sz w:val="14"/>
            </w:rPr>
            <w:instrText xml:space="preserve"> </w:instrText>
          </w:r>
          <w:r w:rsidRPr="00C91DCF">
            <w:rPr>
              <w:rStyle w:val="Seitenzahl"/>
              <w:sz w:val="14"/>
            </w:rPr>
            <w:fldChar w:fldCharType="separate"/>
          </w:r>
          <w:r>
            <w:rPr>
              <w:rStyle w:val="Seitenzahl"/>
              <w:sz w:val="14"/>
            </w:rPr>
            <w:t>1</w:t>
          </w:r>
          <w:r w:rsidRPr="00C91DCF">
            <w:rPr>
              <w:rStyle w:val="Seitenzahl"/>
              <w:sz w:val="14"/>
            </w:rPr>
            <w:fldChar w:fldCharType="end"/>
          </w:r>
          <w:r w:rsidRPr="00C91DCF">
            <w:rPr>
              <w:rStyle w:val="Seitenzahl"/>
              <w:sz w:val="14"/>
            </w:rPr>
            <w:t xml:space="preserve"> von </w:t>
          </w:r>
          <w:r w:rsidRPr="00C91DCF">
            <w:rPr>
              <w:rStyle w:val="Seitenzahl"/>
              <w:sz w:val="14"/>
            </w:rPr>
            <w:fldChar w:fldCharType="begin"/>
          </w:r>
          <w:r w:rsidRPr="00C91DCF">
            <w:rPr>
              <w:rStyle w:val="Seitenzahl"/>
              <w:sz w:val="14"/>
            </w:rPr>
            <w:instrText xml:space="preserve"> </w:instrText>
          </w:r>
          <w:r>
            <w:rPr>
              <w:rStyle w:val="Seitenzahl"/>
              <w:sz w:val="14"/>
            </w:rPr>
            <w:instrText>NUMPAGES</w:instrText>
          </w:r>
          <w:r w:rsidRPr="00C91DCF">
            <w:rPr>
              <w:rStyle w:val="Seitenzahl"/>
              <w:sz w:val="14"/>
            </w:rPr>
            <w:instrText xml:space="preserve"> </w:instrText>
          </w:r>
          <w:r w:rsidRPr="00C91DCF">
            <w:rPr>
              <w:rStyle w:val="Seitenzahl"/>
              <w:sz w:val="14"/>
            </w:rPr>
            <w:fldChar w:fldCharType="separate"/>
          </w:r>
          <w:r w:rsidR="00B56676">
            <w:rPr>
              <w:rStyle w:val="Seitenzahl"/>
              <w:noProof/>
              <w:sz w:val="14"/>
            </w:rPr>
            <w:t>3</w:t>
          </w:r>
          <w:r w:rsidRPr="00C91DCF">
            <w:rPr>
              <w:rStyle w:val="Seitenzahl"/>
              <w:sz w:val="14"/>
            </w:rPr>
            <w:fldChar w:fldCharType="end"/>
          </w:r>
        </w:p>
      </w:tc>
    </w:tr>
  </w:tbl>
  <w:p w:rsidR="0011004E" w:rsidRDefault="001100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E4F" w:rsidRDefault="005C2E4F">
      <w:r>
        <w:separator/>
      </w:r>
    </w:p>
  </w:footnote>
  <w:footnote w:type="continuationSeparator" w:id="0">
    <w:p w:rsidR="005C2E4F" w:rsidRDefault="005C2E4F">
      <w:r>
        <w:continuationSeparator/>
      </w:r>
    </w:p>
  </w:footnote>
  <w:footnote w:id="1">
    <w:p w:rsidR="009C122C" w:rsidRPr="00CB3533" w:rsidRDefault="009C122C" w:rsidP="009C122C">
      <w:pPr>
        <w:pStyle w:val="Funotentext"/>
        <w:rPr>
          <w:rFonts w:ascii="Tahoma" w:hAnsi="Tahoma" w:cs="Tahoma"/>
        </w:rPr>
      </w:pPr>
      <w:r w:rsidRPr="00CB3533">
        <w:rPr>
          <w:rStyle w:val="Funotenzeichen"/>
          <w:rFonts w:ascii="Tahoma" w:hAnsi="Tahoma" w:cs="Tahoma"/>
        </w:rPr>
        <w:footnoteRef/>
      </w:r>
      <w:r w:rsidRPr="00CB3533">
        <w:rPr>
          <w:rFonts w:ascii="Tahoma" w:hAnsi="Tahoma" w:cs="Tahoma"/>
        </w:rPr>
        <w:t xml:space="preserve"> </w:t>
      </w:r>
      <w:r w:rsidRPr="00CB3533">
        <w:rPr>
          <w:rFonts w:ascii="Tahoma" w:hAnsi="Tahoma" w:cs="Tahoma"/>
          <w:sz w:val="16"/>
          <w:szCs w:val="16"/>
        </w:rPr>
        <w:t>Bundesgesetz über die Festlegung von Qualitäts- und Sicherheitsstandards für die Gewinnung, Verarbeitung, Lagerung und Verteilung von menschlichen Zellen und Geweben zur Verwendung beim Menschen vom, BGBl. I Nr. 49/2008 idgF</w:t>
      </w:r>
    </w:p>
  </w:footnote>
  <w:footnote w:id="2">
    <w:p w:rsidR="00277F8F" w:rsidRDefault="00277F8F">
      <w:pPr>
        <w:pStyle w:val="Funotentext"/>
      </w:pPr>
      <w:r>
        <w:rPr>
          <w:rStyle w:val="Funotenzeichen"/>
        </w:rPr>
        <w:footnoteRef/>
      </w:r>
      <w:r>
        <w:t xml:space="preserve"> </w:t>
      </w:r>
      <w:r w:rsidRPr="004A6418">
        <w:rPr>
          <w:rFonts w:ascii="Tahoma" w:hAnsi="Tahoma" w:cs="Tahoma"/>
          <w:sz w:val="16"/>
          <w:szCs w:val="16"/>
        </w:rPr>
        <w:t xml:space="preserve">Allgemeines Verwaltungsverfahrensgesetz 1991 – AVG, </w:t>
      </w:r>
      <w:hyperlink r:id="rId1" w:tgtFrame="_blank" w:history="1">
        <w:r w:rsidRPr="004A6418">
          <w:rPr>
            <w:rStyle w:val="Hyperlink"/>
            <w:rFonts w:ascii="Tahoma" w:hAnsi="Tahoma" w:cs="Tahoma"/>
            <w:color w:val="auto"/>
            <w:sz w:val="16"/>
            <w:szCs w:val="16"/>
            <w:u w:val="none"/>
          </w:rPr>
          <w:t>BGBl. Nr. 51/1991</w:t>
        </w:r>
      </w:hyperlink>
      <w:r w:rsidRPr="004A6418">
        <w:rPr>
          <w:rFonts w:ascii="Tahoma" w:hAnsi="Tahoma" w:cs="Tahoma"/>
          <w:sz w:val="16"/>
          <w:szCs w:val="16"/>
        </w:rPr>
        <w:t>, idgF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823" w:type="dxa"/>
      <w:tblInd w:w="-279" w:type="dxa"/>
      <w:tblCellMar>
        <w:left w:w="0" w:type="dxa"/>
        <w:right w:w="0" w:type="dxa"/>
      </w:tblCellMar>
      <w:tblLook w:val="04A0" w:firstRow="1" w:lastRow="0" w:firstColumn="1" w:lastColumn="0" w:noHBand="0" w:noVBand="1"/>
      <w:tblCaption w:val="Header"/>
      <w:tblDescription w:val="Two-columned table; to the left organisational data, to the right the AGES Company logo."/>
    </w:tblPr>
    <w:tblGrid>
      <w:gridCol w:w="5854"/>
      <w:gridCol w:w="3969"/>
    </w:tblGrid>
    <w:tr w:rsidR="00DC4ED3" w:rsidTr="00CB3533">
      <w:trPr>
        <w:tblHeader/>
      </w:trPr>
      <w:tc>
        <w:tcPr>
          <w:tcW w:w="5854" w:type="dxa"/>
          <w:tcBorders>
            <w:top w:val="nil"/>
            <w:left w:val="nil"/>
            <w:right w:val="nil"/>
          </w:tcBorders>
          <w:vAlign w:val="center"/>
        </w:tcPr>
        <w:p w:rsidR="00DC4ED3" w:rsidRPr="00813DB6" w:rsidRDefault="00DC4ED3" w:rsidP="00371F92">
          <w:pPr>
            <w:rPr>
              <w:sz w:val="16"/>
              <w:szCs w:val="16"/>
            </w:rPr>
          </w:pPr>
          <w:r>
            <w:rPr>
              <w:noProof/>
              <w:sz w:val="16"/>
              <w:szCs w:val="16"/>
            </w:rPr>
            <w:drawing>
              <wp:inline distT="0" distB="0" distL="0" distR="0" wp14:anchorId="6EB7EEFB" wp14:editId="215804B4">
                <wp:extent cx="2018581" cy="706194"/>
                <wp:effectExtent l="0" t="0" r="1270" b="0"/>
                <wp:docPr id="12" name="Grafik 12" descr="Logo des BASG (Bundesamt für Sicheheit im Gesundheitswesen)" title="BA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SG_2015.emf"/>
                        <pic:cNvPicPr/>
                      </pic:nvPicPr>
                      <pic:blipFill>
                        <a:blip r:embed="rId1">
                          <a:extLst>
                            <a:ext uri="{28A0092B-C50C-407E-A947-70E740481C1C}">
                              <a14:useLocalDpi xmlns:a14="http://schemas.microsoft.com/office/drawing/2010/main" val="0"/>
                            </a:ext>
                          </a:extLst>
                        </a:blip>
                        <a:stretch>
                          <a:fillRect/>
                        </a:stretch>
                      </pic:blipFill>
                      <pic:spPr>
                        <a:xfrm>
                          <a:off x="0" y="0"/>
                          <a:ext cx="2036553" cy="712482"/>
                        </a:xfrm>
                        <a:prstGeom prst="rect">
                          <a:avLst/>
                        </a:prstGeom>
                      </pic:spPr>
                    </pic:pic>
                  </a:graphicData>
                </a:graphic>
              </wp:inline>
            </w:drawing>
          </w:r>
          <w:r w:rsidRPr="00813DB6">
            <w:rPr>
              <w:sz w:val="16"/>
              <w:szCs w:val="16"/>
            </w:rPr>
            <w:br/>
          </w:r>
        </w:p>
      </w:tc>
      <w:tc>
        <w:tcPr>
          <w:tcW w:w="3969" w:type="dxa"/>
          <w:tcBorders>
            <w:top w:val="nil"/>
            <w:left w:val="nil"/>
            <w:right w:val="nil"/>
          </w:tcBorders>
          <w:vAlign w:val="center"/>
        </w:tcPr>
        <w:p w:rsidR="00DC4ED3" w:rsidRDefault="00DC4ED3" w:rsidP="00371F92">
          <w:pPr>
            <w:ind w:left="142" w:right="283"/>
            <w:jc w:val="right"/>
            <w:rPr>
              <w:sz w:val="16"/>
              <w:szCs w:val="16"/>
            </w:rPr>
          </w:pPr>
          <w:r>
            <w:rPr>
              <w:sz w:val="16"/>
              <w:szCs w:val="16"/>
            </w:rPr>
            <w:t>BASG / AGES MEA</w:t>
          </w:r>
          <w:r w:rsidRPr="00813DB6">
            <w:rPr>
              <w:sz w:val="16"/>
              <w:szCs w:val="16"/>
            </w:rPr>
            <w:br/>
          </w:r>
          <w:r>
            <w:rPr>
              <w:sz w:val="16"/>
              <w:szCs w:val="16"/>
            </w:rPr>
            <w:t>Institut Überwachung</w:t>
          </w:r>
        </w:p>
        <w:p w:rsidR="00DC4ED3" w:rsidRDefault="00DC4ED3" w:rsidP="00371F92">
          <w:pPr>
            <w:ind w:left="142" w:right="283"/>
            <w:jc w:val="right"/>
            <w:rPr>
              <w:sz w:val="16"/>
              <w:szCs w:val="16"/>
            </w:rPr>
          </w:pPr>
          <w:r>
            <w:rPr>
              <w:sz w:val="16"/>
              <w:szCs w:val="16"/>
            </w:rPr>
            <w:t xml:space="preserve">Abteilung </w:t>
          </w:r>
          <w:r w:rsidR="00DE20E4">
            <w:rPr>
              <w:sz w:val="16"/>
              <w:szCs w:val="16"/>
            </w:rPr>
            <w:t>Blut, Gewebe &amp; Vigilanz</w:t>
          </w:r>
          <w:r w:rsidRPr="00813DB6">
            <w:rPr>
              <w:sz w:val="16"/>
              <w:szCs w:val="16"/>
            </w:rPr>
            <w:br/>
          </w:r>
          <w:r>
            <w:rPr>
              <w:sz w:val="16"/>
              <w:szCs w:val="16"/>
            </w:rPr>
            <w:t>Traiseng. 5, 1200 Wien, Österreich</w:t>
          </w:r>
        </w:p>
        <w:p w:rsidR="00DC4ED3" w:rsidRDefault="00DC4ED3" w:rsidP="00371F92">
          <w:pPr>
            <w:ind w:left="142" w:right="283"/>
            <w:jc w:val="right"/>
            <w:rPr>
              <w:sz w:val="16"/>
              <w:szCs w:val="16"/>
            </w:rPr>
          </w:pPr>
        </w:p>
        <w:p w:rsidR="00DC4ED3" w:rsidRPr="00932B6D" w:rsidRDefault="00DC4ED3" w:rsidP="00371F92">
          <w:pPr>
            <w:ind w:left="142" w:right="283"/>
            <w:jc w:val="right"/>
            <w:rPr>
              <w:sz w:val="2"/>
              <w:szCs w:val="2"/>
            </w:rPr>
          </w:pPr>
          <w:r w:rsidRPr="00932B6D">
            <w:rPr>
              <w:noProof/>
              <w:sz w:val="2"/>
              <w:szCs w:val="2"/>
            </w:rPr>
            <w:t xml:space="preserve"> </w:t>
          </w:r>
        </w:p>
      </w:tc>
    </w:tr>
    <w:tr w:rsidR="00DC4ED3" w:rsidTr="00CB3533">
      <w:trPr>
        <w:trHeight w:val="425"/>
        <w:tblHeader/>
      </w:trPr>
      <w:tc>
        <w:tcPr>
          <w:tcW w:w="9823" w:type="dxa"/>
          <w:gridSpan w:val="2"/>
          <w:vAlign w:val="center"/>
        </w:tcPr>
        <w:p w:rsidR="00DC4ED3" w:rsidRPr="00CB3533" w:rsidRDefault="00DC4ED3" w:rsidP="00CB3533">
          <w:pPr>
            <w:ind w:left="142" w:right="283"/>
            <w:jc w:val="center"/>
            <w:rPr>
              <w:b/>
              <w:sz w:val="22"/>
              <w:szCs w:val="22"/>
            </w:rPr>
          </w:pPr>
          <w:r w:rsidRPr="00CB3533">
            <w:rPr>
              <w:b/>
              <w:sz w:val="22"/>
              <w:szCs w:val="22"/>
            </w:rPr>
            <w:t>Pre-Inspection-Package GSG</w:t>
          </w:r>
        </w:p>
      </w:tc>
    </w:tr>
  </w:tbl>
  <w:p w:rsidR="0011004E" w:rsidRDefault="0011004E" w:rsidP="00A7218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01" w:type="dxa"/>
      <w:tblLook w:val="00A0" w:firstRow="1" w:lastRow="0" w:firstColumn="1" w:lastColumn="0" w:noHBand="0" w:noVBand="0"/>
    </w:tblPr>
    <w:tblGrid>
      <w:gridCol w:w="10171"/>
    </w:tblGrid>
    <w:tr w:rsidR="0011004E">
      <w:tc>
        <w:tcPr>
          <w:tcW w:w="10232" w:type="dxa"/>
        </w:tcPr>
        <w:p w:rsidR="0011004E" w:rsidRPr="00460489" w:rsidRDefault="001A13B1" w:rsidP="00235130">
          <w:pPr>
            <w:pStyle w:val="Kopfzeile"/>
            <w:ind w:left="-79"/>
          </w:pPr>
          <w:r>
            <w:rPr>
              <w:szCs w:val="20"/>
              <w:lang w:val="de-DE" w:eastAsia="de-DE"/>
            </w:rPr>
            <w:drawing>
              <wp:anchor distT="0" distB="0" distL="114300" distR="114300" simplePos="0" relativeHeight="251658240" behindDoc="1" locked="0" layoutInCell="1" allowOverlap="1" wp14:anchorId="0E9B094B" wp14:editId="6CC0374B">
                <wp:simplePos x="0" y="0"/>
                <wp:positionH relativeFrom="margin">
                  <wp:align>right</wp:align>
                </wp:positionH>
                <wp:positionV relativeFrom="margin">
                  <wp:align>top</wp:align>
                </wp:positionV>
                <wp:extent cx="1448435" cy="851535"/>
                <wp:effectExtent l="0" t="0" r="0" b="5715"/>
                <wp:wrapNone/>
                <wp:docPr id="13" name="Bild 14" descr="AGES Logo 2c_4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GES Logo 2c_4c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435"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0"/>
              <w:lang w:val="de-DE" w:eastAsia="de-DE"/>
            </w:rPr>
            <mc:AlternateContent>
              <mc:Choice Requires="wps">
                <w:drawing>
                  <wp:anchor distT="0" distB="0" distL="114300" distR="114300" simplePos="0" relativeHeight="251657216" behindDoc="0" locked="1" layoutInCell="0" allowOverlap="1" wp14:anchorId="2516292A" wp14:editId="5E35FFE8">
                    <wp:simplePos x="0" y="0"/>
                    <wp:positionH relativeFrom="page">
                      <wp:posOffset>0</wp:posOffset>
                    </wp:positionH>
                    <wp:positionV relativeFrom="page">
                      <wp:posOffset>7200900</wp:posOffset>
                    </wp:positionV>
                    <wp:extent cx="179705" cy="0"/>
                    <wp:effectExtent l="9525" t="9525" r="10795" b="952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650A0"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JEnGA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" o:allowincell="f" strokeweight=".25pt">
                    <w10:wrap anchorx="page" anchory="page"/>
                    <w10:anchorlock/>
                  </v:line>
                </w:pict>
              </mc:Fallback>
            </mc:AlternateContent>
          </w:r>
          <w:r>
            <w:rPr>
              <w:szCs w:val="20"/>
              <w:lang w:val="de-DE" w:eastAsia="de-DE"/>
            </w:rPr>
            <mc:AlternateContent>
              <mc:Choice Requires="wps">
                <w:drawing>
                  <wp:anchor distT="0" distB="0" distL="114300" distR="114300" simplePos="0" relativeHeight="251656192" behindDoc="0" locked="1" layoutInCell="1" allowOverlap="0" wp14:anchorId="58A74457" wp14:editId="23F5AE60">
                    <wp:simplePos x="0" y="0"/>
                    <wp:positionH relativeFrom="page">
                      <wp:posOffset>-255905</wp:posOffset>
                    </wp:positionH>
                    <wp:positionV relativeFrom="page">
                      <wp:posOffset>5050790</wp:posOffset>
                    </wp:positionV>
                    <wp:extent cx="179705" cy="0"/>
                    <wp:effectExtent l="10795" t="12065" r="9525" b="698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4FF9C" id="Line 8" o:spid="_x0000_s1026" style="position:absolute;flip:x;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15pt,397.7pt" to="-6pt,3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3wFw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" o:allowoverlap="f" strokeweight=".25pt">
                    <w10:wrap anchorx="page" anchory="page"/>
                    <w10:anchorlock/>
                  </v:line>
                </w:pict>
              </mc:Fallback>
            </mc:AlternateContent>
          </w:r>
          <w:r>
            <w:rPr>
              <w:szCs w:val="20"/>
              <w:lang w:val="de-DE" w:eastAsia="de-DE"/>
            </w:rPr>
            <mc:AlternateContent>
              <mc:Choice Requires="wps">
                <w:drawing>
                  <wp:anchor distT="0" distB="0" distL="114300" distR="114300" simplePos="0" relativeHeight="251655168" behindDoc="0" locked="1" layoutInCell="0" allowOverlap="1" wp14:anchorId="232F5A84" wp14:editId="6AB031EC">
                    <wp:simplePos x="0" y="0"/>
                    <wp:positionH relativeFrom="page">
                      <wp:posOffset>0</wp:posOffset>
                    </wp:positionH>
                    <wp:positionV relativeFrom="page">
                      <wp:posOffset>3636645</wp:posOffset>
                    </wp:positionV>
                    <wp:extent cx="179705" cy="0"/>
                    <wp:effectExtent l="9525" t="7620" r="1079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E4E6" id="Line 7" o:spid="_x0000_s1026" style="position:absolute;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" o:allowincell="f" strokeweight=".25pt">
                    <w10:wrap anchorx="page" anchory="page"/>
                    <w10:anchorlock/>
                  </v:line>
                </w:pict>
              </mc:Fallback>
            </mc:AlternateContent>
          </w:r>
        </w:p>
      </w:tc>
    </w:tr>
  </w:tbl>
  <w:p w:rsidR="0011004E" w:rsidRDefault="0011004E" w:rsidP="00235130">
    <w:pPr>
      <w:pStyle w:val="Kopfzeile"/>
      <w:ind w:left="-6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25B"/>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397FEA"/>
    <w:multiLevelType w:val="multilevel"/>
    <w:tmpl w:val="2FA2A170"/>
    <w:lvl w:ilvl="0">
      <w:start w:val="1"/>
      <w:numFmt w:val="decimal"/>
      <w:pStyle w:val="berschrift1"/>
      <w:lvlText w:val="%1."/>
      <w:lvlJc w:val="left"/>
      <w:pPr>
        <w:tabs>
          <w:tab w:val="num" w:pos="0"/>
        </w:tabs>
        <w:ind w:left="0" w:firstLine="0"/>
      </w:pPr>
      <w:rPr>
        <w:rFonts w:ascii="Tahoma" w:hAnsi="Tahoma" w:hint="default"/>
        <w:b/>
        <w:i w:val="0"/>
        <w:sz w:val="22"/>
        <w:szCs w:val="22"/>
      </w:rPr>
    </w:lvl>
    <w:lvl w:ilvl="1">
      <w:start w:val="1"/>
      <w:numFmt w:val="decimal"/>
      <w:pStyle w:val="berschrift2"/>
      <w:lvlText w:val="%1.%2."/>
      <w:lvlJc w:val="left"/>
      <w:pPr>
        <w:tabs>
          <w:tab w:val="num" w:pos="0"/>
        </w:tabs>
        <w:ind w:left="0" w:firstLine="0"/>
      </w:pPr>
      <w:rPr>
        <w:rFonts w:ascii="Tahoma" w:hAnsi="Tahoma" w:hint="default"/>
        <w:b/>
        <w:i w:val="0"/>
        <w:sz w:val="20"/>
        <w:szCs w:val="20"/>
      </w:rPr>
    </w:lvl>
    <w:lvl w:ilvl="2">
      <w:start w:val="1"/>
      <w:numFmt w:val="decimal"/>
      <w:pStyle w:val="berschrift3"/>
      <w:lvlText w:val="%1.%2.%3."/>
      <w:lvlJc w:val="left"/>
      <w:pPr>
        <w:tabs>
          <w:tab w:val="num" w:pos="0"/>
        </w:tabs>
        <w:ind w:left="0" w:firstLine="0"/>
      </w:pPr>
      <w:rPr>
        <w:rFonts w:ascii="Tahoma" w:hAnsi="Tahoma" w:hint="default"/>
        <w:b w:val="0"/>
        <w:i w:val="0"/>
        <w:sz w:val="20"/>
        <w:szCs w:val="20"/>
      </w:rPr>
    </w:lvl>
    <w:lvl w:ilvl="3">
      <w:start w:val="1"/>
      <w:numFmt w:val="decimal"/>
      <w:pStyle w:val="berschrift4"/>
      <w:lvlText w:val="%1.%2.%3.%4."/>
      <w:lvlJc w:val="left"/>
      <w:pPr>
        <w:tabs>
          <w:tab w:val="num" w:pos="0"/>
        </w:tabs>
        <w:ind w:left="0" w:firstLine="0"/>
      </w:pPr>
      <w:rPr>
        <w:rFonts w:ascii="Tahoma" w:hAnsi="Tahoma" w:hint="default"/>
        <w:b w:val="0"/>
        <w:i/>
        <w:sz w:val="20"/>
        <w:szCs w:val="20"/>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2" w15:restartNumberingAfterBreak="0">
    <w:nsid w:val="0B197FA9"/>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19A6B24"/>
    <w:multiLevelType w:val="multilevel"/>
    <w:tmpl w:val="8A50AE16"/>
    <w:lvl w:ilvl="0">
      <w:start w:val="1"/>
      <w:numFmt w:val="decimal"/>
      <w:lvlText w:val="%1."/>
      <w:lvlJc w:val="left"/>
      <w:pPr>
        <w:tabs>
          <w:tab w:val="num" w:pos="0"/>
        </w:tabs>
        <w:ind w:left="0" w:firstLine="0"/>
      </w:pPr>
      <w:rPr>
        <w:rFonts w:ascii="Tahoma" w:hAnsi="Tahoma" w:hint="default"/>
        <w:sz w:val="20"/>
        <w:szCs w:val="20"/>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4" w15:restartNumberingAfterBreak="0">
    <w:nsid w:val="27103E93"/>
    <w:multiLevelType w:val="hybridMultilevel"/>
    <w:tmpl w:val="C9C8A366"/>
    <w:lvl w:ilvl="0" w:tplc="04070011">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110CC"/>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E4017E5"/>
    <w:multiLevelType w:val="hybridMultilevel"/>
    <w:tmpl w:val="1FB4B860"/>
    <w:lvl w:ilvl="0" w:tplc="0C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6B3470"/>
    <w:multiLevelType w:val="multilevel"/>
    <w:tmpl w:val="138AD7B6"/>
    <w:lvl w:ilvl="0">
      <w:start w:val="1"/>
      <w:numFmt w:val="decimal"/>
      <w:lvlText w:val="%1."/>
      <w:lvlJc w:val="left"/>
      <w:pPr>
        <w:tabs>
          <w:tab w:val="num" w:pos="0"/>
        </w:tabs>
        <w:ind w:left="0" w:firstLine="0"/>
      </w:pPr>
      <w:rPr>
        <w:rFonts w:ascii="Tahoma" w:hAnsi="Tahoma" w:hint="default"/>
        <w:sz w:val="22"/>
        <w:szCs w:val="22"/>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8" w15:restartNumberingAfterBreak="0">
    <w:nsid w:val="5BAB7C79"/>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C846CC2"/>
    <w:multiLevelType w:val="multilevel"/>
    <w:tmpl w:val="F274FD4A"/>
    <w:lvl w:ilvl="0">
      <w:start w:val="1"/>
      <w:numFmt w:val="decimal"/>
      <w:lvlText w:val="%1."/>
      <w:lvlJc w:val="left"/>
      <w:pPr>
        <w:tabs>
          <w:tab w:val="num" w:pos="0"/>
        </w:tabs>
        <w:ind w:left="0" w:firstLine="0"/>
      </w:pPr>
      <w:rPr>
        <w:rFonts w:ascii="Tahoma" w:hAnsi="Tahoma" w:hint="default"/>
        <w:sz w:val="22"/>
        <w:szCs w:val="22"/>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10" w15:restartNumberingAfterBreak="0">
    <w:nsid w:val="6CE6130A"/>
    <w:multiLevelType w:val="multilevel"/>
    <w:tmpl w:val="49E42BF6"/>
    <w:lvl w:ilvl="0">
      <w:start w:val="1"/>
      <w:numFmt w:val="decimal"/>
      <w:lvlText w:val="%1."/>
      <w:lvlJc w:val="left"/>
      <w:pPr>
        <w:tabs>
          <w:tab w:val="num" w:pos="0"/>
        </w:tabs>
        <w:ind w:left="0" w:firstLine="0"/>
      </w:pPr>
      <w:rPr>
        <w:rFonts w:ascii="Tahoma" w:hAnsi="Tahoma" w:hint="default"/>
        <w:sz w:val="20"/>
        <w:szCs w:val="20"/>
      </w:rPr>
    </w:lvl>
    <w:lvl w:ilvl="1">
      <w:start w:val="6"/>
      <w:numFmt w:val="none"/>
      <w:lvlText w:val="1.1"/>
      <w:lvlJc w:val="left"/>
      <w:pPr>
        <w:tabs>
          <w:tab w:val="num" w:pos="0"/>
        </w:tabs>
        <w:ind w:left="0" w:firstLine="0"/>
      </w:pPr>
      <w:rPr>
        <w:rFonts w:ascii="Tahoma" w:hAnsi="Tahoma" w:hint="default"/>
        <w:sz w:val="20"/>
        <w:szCs w:val="20"/>
      </w:rPr>
    </w:lvl>
    <w:lvl w:ilvl="2">
      <w:start w:val="5"/>
      <w:numFmt w:val="none"/>
      <w:lvlText w:val="1.1.1"/>
      <w:lvlJc w:val="left"/>
      <w:pPr>
        <w:tabs>
          <w:tab w:val="num" w:pos="0"/>
        </w:tabs>
        <w:ind w:left="0" w:firstLine="0"/>
      </w:pPr>
      <w:rPr>
        <w:rFonts w:hint="default"/>
      </w:rPr>
    </w:lvl>
    <w:lvl w:ilvl="3">
      <w:start w:val="1"/>
      <w:numFmt w:val="none"/>
      <w:lvlText w:val="1.1.1.1"/>
      <w:lvlJc w:val="left"/>
      <w:pPr>
        <w:tabs>
          <w:tab w:val="num" w:pos="0"/>
        </w:tabs>
        <w:ind w:left="0" w:firstLine="0"/>
      </w:pPr>
      <w:rPr>
        <w:rFonts w:ascii="Tahoma" w:hAnsi="Tahoma"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658"/>
        </w:tabs>
        <w:ind w:left="4154" w:hanging="936"/>
      </w:pPr>
      <w:rPr>
        <w:rFonts w:hint="default"/>
      </w:rPr>
    </w:lvl>
    <w:lvl w:ilvl="6">
      <w:start w:val="1"/>
      <w:numFmt w:val="decimal"/>
      <w:lvlText w:val="%1.%2.%3.%4.%5.%6.%7."/>
      <w:lvlJc w:val="left"/>
      <w:pPr>
        <w:tabs>
          <w:tab w:val="num" w:pos="5378"/>
        </w:tabs>
        <w:ind w:left="4658" w:hanging="1080"/>
      </w:pPr>
      <w:rPr>
        <w:rFonts w:hint="default"/>
      </w:rPr>
    </w:lvl>
    <w:lvl w:ilvl="7">
      <w:start w:val="1"/>
      <w:numFmt w:val="decimal"/>
      <w:lvlText w:val="%1.%2.%3.%4.%5.%6.%7.%8."/>
      <w:lvlJc w:val="left"/>
      <w:pPr>
        <w:tabs>
          <w:tab w:val="num" w:pos="5738"/>
        </w:tabs>
        <w:ind w:left="5162" w:hanging="1224"/>
      </w:pPr>
      <w:rPr>
        <w:rFonts w:hint="default"/>
      </w:rPr>
    </w:lvl>
    <w:lvl w:ilvl="8">
      <w:start w:val="1"/>
      <w:numFmt w:val="decimal"/>
      <w:lvlText w:val="%1.%2.%3.%4.%5.%6.%7.%8.%9."/>
      <w:lvlJc w:val="left"/>
      <w:pPr>
        <w:tabs>
          <w:tab w:val="num" w:pos="6458"/>
        </w:tabs>
        <w:ind w:left="5738" w:hanging="1440"/>
      </w:pPr>
      <w:rPr>
        <w:rFonts w:hint="default"/>
      </w:rPr>
    </w:lvl>
  </w:abstractNum>
  <w:abstractNum w:abstractNumId="11" w15:restartNumberingAfterBreak="0">
    <w:nsid w:val="711C0071"/>
    <w:multiLevelType w:val="hybridMultilevel"/>
    <w:tmpl w:val="190A0BC8"/>
    <w:lvl w:ilvl="0" w:tplc="8F704CBE">
      <w:start w:val="1"/>
      <w:numFmt w:val="decimal"/>
      <w:lvlText w:val="%1)"/>
      <w:lvlJc w:val="left"/>
      <w:pPr>
        <w:tabs>
          <w:tab w:val="num" w:pos="360"/>
        </w:tabs>
        <w:ind w:left="360" w:hanging="360"/>
      </w:pPr>
      <w:rPr>
        <w:b/>
      </w:rPr>
    </w:lvl>
    <w:lvl w:ilvl="1" w:tplc="04070001">
      <w:start w:val="1"/>
      <w:numFmt w:val="bullet"/>
      <w:lvlText w:val=""/>
      <w:lvlJc w:val="left"/>
      <w:pPr>
        <w:tabs>
          <w:tab w:val="num" w:pos="1440"/>
        </w:tabs>
        <w:ind w:left="1440" w:hanging="360"/>
      </w:pPr>
      <w:rPr>
        <w:rFonts w:ascii="Symbol" w:hAnsi="Symbol" w:hint="default"/>
        <w:b/>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10"/>
  </w:num>
  <w:num w:numId="4">
    <w:abstractNumId w:val="7"/>
  </w:num>
  <w:num w:numId="5">
    <w:abstractNumId w:val="9"/>
  </w:num>
  <w:num w:numId="6">
    <w:abstractNumId w:val="2"/>
  </w:num>
  <w:num w:numId="7">
    <w:abstractNumId w:val="0"/>
  </w:num>
  <w:num w:numId="8">
    <w:abstractNumId w:val="8"/>
  </w:num>
  <w:num w:numId="9">
    <w:abstractNumId w:val="5"/>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ctiveWritingStyle w:appName="MSWord" w:lang="de-DE" w:vendorID="64" w:dllVersion="131078" w:nlCheck="1" w:checkStyle="0"/>
  <w:activeWritingStyle w:appName="MSWord" w:lang="en-GB" w:vendorID="64" w:dllVersion="131078" w:nlCheck="1" w:checkStyle="1"/>
  <w:activeWritingStyle w:appName="MSWord" w:lang="de-AT"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4D9"/>
    <w:rsid w:val="00026058"/>
    <w:rsid w:val="00071A63"/>
    <w:rsid w:val="0008461F"/>
    <w:rsid w:val="000B05C0"/>
    <w:rsid w:val="0011004E"/>
    <w:rsid w:val="00192284"/>
    <w:rsid w:val="001A13B1"/>
    <w:rsid w:val="001A4157"/>
    <w:rsid w:val="001F237C"/>
    <w:rsid w:val="002228EC"/>
    <w:rsid w:val="00235130"/>
    <w:rsid w:val="002701C5"/>
    <w:rsid w:val="00277F8F"/>
    <w:rsid w:val="00294982"/>
    <w:rsid w:val="002A232C"/>
    <w:rsid w:val="002C2E10"/>
    <w:rsid w:val="003074AE"/>
    <w:rsid w:val="0033123A"/>
    <w:rsid w:val="00352F58"/>
    <w:rsid w:val="003B05CB"/>
    <w:rsid w:val="003B4984"/>
    <w:rsid w:val="003C3D97"/>
    <w:rsid w:val="003D10C1"/>
    <w:rsid w:val="004075E8"/>
    <w:rsid w:val="0042286D"/>
    <w:rsid w:val="00440685"/>
    <w:rsid w:val="004513D7"/>
    <w:rsid w:val="004662B6"/>
    <w:rsid w:val="004A55EA"/>
    <w:rsid w:val="005C2E4F"/>
    <w:rsid w:val="005D0925"/>
    <w:rsid w:val="00632E82"/>
    <w:rsid w:val="00634BD7"/>
    <w:rsid w:val="00660832"/>
    <w:rsid w:val="0068505E"/>
    <w:rsid w:val="006970E4"/>
    <w:rsid w:val="006E10B6"/>
    <w:rsid w:val="00746D36"/>
    <w:rsid w:val="007848A7"/>
    <w:rsid w:val="007B271B"/>
    <w:rsid w:val="007C11AE"/>
    <w:rsid w:val="007C5138"/>
    <w:rsid w:val="007D4001"/>
    <w:rsid w:val="007E15FB"/>
    <w:rsid w:val="0082274C"/>
    <w:rsid w:val="00830E4D"/>
    <w:rsid w:val="008C0F42"/>
    <w:rsid w:val="008D0195"/>
    <w:rsid w:val="008D6504"/>
    <w:rsid w:val="0094540E"/>
    <w:rsid w:val="00954A35"/>
    <w:rsid w:val="00970CD0"/>
    <w:rsid w:val="009A6732"/>
    <w:rsid w:val="009C122C"/>
    <w:rsid w:val="009D74B1"/>
    <w:rsid w:val="009E0D2F"/>
    <w:rsid w:val="009F7564"/>
    <w:rsid w:val="00A012C2"/>
    <w:rsid w:val="00A52C0C"/>
    <w:rsid w:val="00A559E2"/>
    <w:rsid w:val="00A72185"/>
    <w:rsid w:val="00AC5141"/>
    <w:rsid w:val="00AE1B20"/>
    <w:rsid w:val="00B040F5"/>
    <w:rsid w:val="00B205D4"/>
    <w:rsid w:val="00B35BD5"/>
    <w:rsid w:val="00B56676"/>
    <w:rsid w:val="00B94B4E"/>
    <w:rsid w:val="00BA69A6"/>
    <w:rsid w:val="00BF338E"/>
    <w:rsid w:val="00BF39F6"/>
    <w:rsid w:val="00C210A8"/>
    <w:rsid w:val="00C41B09"/>
    <w:rsid w:val="00C62D18"/>
    <w:rsid w:val="00CB3533"/>
    <w:rsid w:val="00CF51ED"/>
    <w:rsid w:val="00D0204B"/>
    <w:rsid w:val="00D35CE9"/>
    <w:rsid w:val="00D77E8F"/>
    <w:rsid w:val="00DC24D9"/>
    <w:rsid w:val="00DC4ED3"/>
    <w:rsid w:val="00DE20E4"/>
    <w:rsid w:val="00E87596"/>
    <w:rsid w:val="00EE452D"/>
    <w:rsid w:val="00F05EFE"/>
    <w:rsid w:val="00F156AF"/>
    <w:rsid w:val="00F338D2"/>
    <w:rsid w:val="00FC1351"/>
    <w:rsid w:val="00FE71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729E5230"/>
  <w15:docId w15:val="{802F60D8-80B9-4090-AC5D-3544E628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75E8"/>
    <w:rPr>
      <w:rFonts w:ascii="Tahoma" w:hAnsi="Tahoma"/>
      <w:szCs w:val="24"/>
    </w:rPr>
  </w:style>
  <w:style w:type="paragraph" w:styleId="berschrift1">
    <w:name w:val="heading 1"/>
    <w:basedOn w:val="Standard"/>
    <w:next w:val="Standard"/>
    <w:qFormat/>
    <w:rsid w:val="00C210A8"/>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C210A8"/>
    <w:pPr>
      <w:keepNext/>
      <w:numPr>
        <w:ilvl w:val="1"/>
        <w:numId w:val="1"/>
      </w:numPr>
      <w:spacing w:before="240" w:after="60"/>
      <w:outlineLvl w:val="1"/>
    </w:pPr>
    <w:rPr>
      <w:rFonts w:cs="Arial"/>
      <w:b/>
      <w:bCs/>
      <w:iCs/>
      <w:szCs w:val="28"/>
    </w:rPr>
  </w:style>
  <w:style w:type="paragraph" w:styleId="berschrift3">
    <w:name w:val="heading 3"/>
    <w:basedOn w:val="Standard"/>
    <w:next w:val="Standard"/>
    <w:qFormat/>
    <w:rsid w:val="00C210A8"/>
    <w:pPr>
      <w:keepNext/>
      <w:numPr>
        <w:ilvl w:val="2"/>
        <w:numId w:val="1"/>
      </w:numPr>
      <w:spacing w:before="240" w:after="60"/>
      <w:outlineLvl w:val="2"/>
    </w:pPr>
    <w:rPr>
      <w:rFonts w:cs="Arial"/>
      <w:bCs/>
      <w:szCs w:val="26"/>
    </w:rPr>
  </w:style>
  <w:style w:type="paragraph" w:styleId="berschrift4">
    <w:name w:val="heading 4"/>
    <w:basedOn w:val="Standard"/>
    <w:next w:val="Standard"/>
    <w:qFormat/>
    <w:rsid w:val="00C210A8"/>
    <w:pPr>
      <w:keepNext/>
      <w:numPr>
        <w:ilvl w:val="3"/>
        <w:numId w:val="1"/>
      </w:numPr>
      <w:spacing w:before="240" w:after="60"/>
      <w:outlineLvl w:val="3"/>
    </w:pPr>
    <w:rPr>
      <w:bCs/>
      <w: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17AA5"/>
    <w:pPr>
      <w:tabs>
        <w:tab w:val="center" w:pos="4536"/>
        <w:tab w:val="right" w:pos="9072"/>
      </w:tabs>
    </w:pPr>
    <w:rPr>
      <w:noProof/>
      <w:sz w:val="16"/>
      <w:szCs w:val="12"/>
      <w:lang w:val="de-AT" w:eastAsia="de-AT"/>
    </w:rPr>
  </w:style>
  <w:style w:type="paragraph" w:styleId="Fuzeile">
    <w:name w:val="footer"/>
    <w:basedOn w:val="Standard"/>
    <w:link w:val="FuzeileZchn"/>
    <w:uiPriority w:val="99"/>
    <w:semiHidden/>
    <w:rsid w:val="00E17AA5"/>
    <w:pPr>
      <w:tabs>
        <w:tab w:val="center" w:pos="4536"/>
        <w:tab w:val="right" w:pos="9072"/>
      </w:tabs>
    </w:pPr>
  </w:style>
  <w:style w:type="table" w:styleId="Tabellenraster">
    <w:name w:val="Table Grid"/>
    <w:basedOn w:val="NormaleTabelle"/>
    <w:rsid w:val="004075E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17AA5"/>
    <w:rPr>
      <w:rFonts w:ascii="Lucida Grande" w:hAnsi="Lucida Grande"/>
      <w:sz w:val="18"/>
      <w:szCs w:val="18"/>
    </w:rPr>
  </w:style>
  <w:style w:type="character" w:styleId="Seitenzahl">
    <w:name w:val="page number"/>
    <w:basedOn w:val="Absatz-Standardschriftart"/>
    <w:rsid w:val="004075E8"/>
    <w:rPr>
      <w:rFonts w:ascii="Tahoma" w:hAnsi="Tahoma"/>
    </w:rPr>
  </w:style>
  <w:style w:type="character" w:styleId="Hyperlink">
    <w:name w:val="Hyperlink"/>
    <w:uiPriority w:val="99"/>
    <w:rsid w:val="00970CD0"/>
    <w:rPr>
      <w:color w:val="0000FF"/>
      <w:u w:val="single"/>
    </w:rPr>
  </w:style>
  <w:style w:type="character" w:customStyle="1" w:styleId="FuzeileZchn">
    <w:name w:val="Fußzeile Zchn"/>
    <w:basedOn w:val="Absatz-Standardschriftart"/>
    <w:link w:val="Fuzeile"/>
    <w:uiPriority w:val="99"/>
    <w:semiHidden/>
    <w:rsid w:val="00BA69A6"/>
    <w:rPr>
      <w:rFonts w:ascii="Tahoma" w:hAnsi="Tahoma"/>
      <w:szCs w:val="24"/>
    </w:rPr>
  </w:style>
  <w:style w:type="paragraph" w:styleId="Funotentext">
    <w:name w:val="footnote text"/>
    <w:basedOn w:val="Standard"/>
    <w:link w:val="FunotentextZchn"/>
    <w:semiHidden/>
    <w:rsid w:val="009C122C"/>
    <w:pPr>
      <w:overflowPunct w:val="0"/>
      <w:autoSpaceDE w:val="0"/>
      <w:autoSpaceDN w:val="0"/>
      <w:adjustRightInd w:val="0"/>
      <w:textAlignment w:val="baseline"/>
    </w:pPr>
    <w:rPr>
      <w:rFonts w:ascii="Arial" w:hAnsi="Arial"/>
      <w:szCs w:val="20"/>
    </w:rPr>
  </w:style>
  <w:style w:type="character" w:customStyle="1" w:styleId="FunotentextZchn">
    <w:name w:val="Fußnotentext Zchn"/>
    <w:basedOn w:val="Absatz-Standardschriftart"/>
    <w:link w:val="Funotentext"/>
    <w:semiHidden/>
    <w:rsid w:val="009C122C"/>
    <w:rPr>
      <w:rFonts w:ascii="Arial" w:hAnsi="Arial"/>
    </w:rPr>
  </w:style>
  <w:style w:type="character" w:styleId="Funotenzeichen">
    <w:name w:val="footnote reference"/>
    <w:semiHidden/>
    <w:rsid w:val="009C122C"/>
    <w:rPr>
      <w:vertAlign w:val="superscript"/>
    </w:rPr>
  </w:style>
  <w:style w:type="character" w:customStyle="1" w:styleId="991GldSymbol">
    <w:name w:val="991_GldSymbol"/>
    <w:rsid w:val="009C122C"/>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ris.bka.gv.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pektionen@basg.gv.a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ris.bka.gv.at/Dokumente/BgblPdf/1991_51_0/1991_51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gnes19\Desktop\CD-Vorlagen\100609_AGES_minimal_ho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100609_AGES_minimal_hoch.dot</Template>
  <TotalTime>0</TotalTime>
  <Pages>3</Pages>
  <Words>811</Words>
  <Characters>5112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Österreichische Agentur für Gesundheit</vt:lpstr>
    </vt:vector>
  </TitlesOfParts>
  <Company>WIRZ Werbeagentur GmbH</Company>
  <LinksUpToDate>false</LinksUpToDate>
  <CharactersWithSpaces>5912</CharactersWithSpaces>
  <SharedDoc>false</SharedDoc>
  <HLinks>
    <vt:vector size="6" baseType="variant">
      <vt:variant>
        <vt:i4>6291511</vt:i4>
      </vt:variant>
      <vt:variant>
        <vt:i4>0</vt:i4>
      </vt:variant>
      <vt:variant>
        <vt:i4>0</vt:i4>
      </vt:variant>
      <vt:variant>
        <vt:i4>5</vt:i4>
      </vt:variant>
      <vt:variant>
        <vt:lpwstr>http://www.basg.at/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Österreichische Agentur für Gesundheit</dc:title>
  <dc:creator>agnes19</dc:creator>
  <cp:lastModifiedBy>Hofbauer Simone</cp:lastModifiedBy>
  <cp:revision>13</cp:revision>
  <cp:lastPrinted>2017-12-01T09:36:00Z</cp:lastPrinted>
  <dcterms:created xsi:type="dcterms:W3CDTF">2017-02-08T14:57:00Z</dcterms:created>
  <dcterms:modified xsi:type="dcterms:W3CDTF">2022-08-30T08:45:00Z</dcterms:modified>
</cp:coreProperties>
</file>